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03C" w:rsidRPr="00B24951" w:rsidRDefault="0044303C" w:rsidP="0044303C">
      <w:pPr>
        <w:pStyle w:val="BodyText"/>
        <w:rPr>
          <w:b w:val="0"/>
          <w:bCs w:val="0"/>
          <w:sz w:val="28"/>
          <w:szCs w:val="28"/>
        </w:rPr>
      </w:pPr>
      <w:r w:rsidRPr="00B24951">
        <w:rPr>
          <w:b w:val="0"/>
          <w:bCs w:val="0"/>
          <w:sz w:val="28"/>
          <w:szCs w:val="28"/>
        </w:rPr>
        <w:t>The changing social ecology of childhood and adolescence in the United States.</w:t>
      </w:r>
    </w:p>
    <w:p w:rsidR="0044303C" w:rsidRPr="00B24951" w:rsidRDefault="0044303C" w:rsidP="0044303C">
      <w:pPr>
        <w:pStyle w:val="BodyText"/>
        <w:ind w:left="2160"/>
        <w:rPr>
          <w:b w:val="0"/>
          <w:bCs w:val="0"/>
        </w:rPr>
      </w:pPr>
      <w:r w:rsidRPr="00B24951">
        <w:rPr>
          <w:b w:val="0"/>
          <w:bCs w:val="0"/>
        </w:rPr>
        <w:t>-Achenbach and Howell- in 1993, compared scores from CBCL from 1976</w:t>
      </w:r>
      <w:proofErr w:type="gramStart"/>
      <w:r w:rsidRPr="00B24951">
        <w:rPr>
          <w:b w:val="0"/>
          <w:bCs w:val="0"/>
        </w:rPr>
        <w:t>,1981</w:t>
      </w:r>
      <w:proofErr w:type="gramEnd"/>
      <w:r w:rsidRPr="00B24951">
        <w:rPr>
          <w:b w:val="0"/>
          <w:bCs w:val="0"/>
        </w:rPr>
        <w:t>,</w:t>
      </w:r>
      <w:r w:rsidR="00B24951">
        <w:rPr>
          <w:b w:val="0"/>
          <w:bCs w:val="0"/>
        </w:rPr>
        <w:t xml:space="preserve"> </w:t>
      </w:r>
      <w:r w:rsidRPr="00B24951">
        <w:rPr>
          <w:b w:val="0"/>
          <w:bCs w:val="0"/>
        </w:rPr>
        <w:t>1987 (random sample of 2000 children, ages 7 –16): in 1989 the 118 items describing behavioral and emotional problems were higher, and competence items lower than either of the previous samplings.  Not the magnitude of the changes, but the consistency that was so impressive- areas measuring withdrawn or social problems, attention or thought problems, delinquency and aggression, anxiety and depression.  Again in 2002.</w:t>
      </w:r>
    </w:p>
    <w:p w:rsidR="0044303C" w:rsidRDefault="0044303C" w:rsidP="0044303C">
      <w:pPr>
        <w:pStyle w:val="BodyText"/>
        <w:ind w:left="2160"/>
        <w:rPr>
          <w:b w:val="0"/>
          <w:bCs w:val="0"/>
        </w:rPr>
      </w:pPr>
    </w:p>
    <w:p w:rsidR="0044303C" w:rsidRPr="0044303C" w:rsidRDefault="0044303C" w:rsidP="0044303C">
      <w:pPr>
        <w:pStyle w:val="BodyText"/>
        <w:ind w:left="2160"/>
        <w:rPr>
          <w:b w:val="0"/>
          <w:bCs w:val="0"/>
        </w:rPr>
      </w:pPr>
      <w:r>
        <w:rPr>
          <w:b w:val="0"/>
          <w:bCs w:val="0"/>
        </w:rPr>
        <w:t xml:space="preserve">Currently: </w:t>
      </w:r>
    </w:p>
    <w:p w:rsidR="0044303C" w:rsidRPr="0044303C" w:rsidRDefault="0044303C" w:rsidP="0044303C">
      <w:pPr>
        <w:pStyle w:val="BodyText"/>
        <w:ind w:left="2160"/>
        <w:rPr>
          <w:b w:val="0"/>
        </w:rPr>
      </w:pPr>
      <w:r w:rsidRPr="0044303C">
        <w:rPr>
          <w:b w:val="0"/>
        </w:rPr>
        <w:t>-</w:t>
      </w:r>
      <w:r w:rsidRPr="003A289D">
        <w:rPr>
          <w:b w:val="0"/>
        </w:rPr>
        <w:t>13.01% of youth (age 12-17) report suffering from at least one major depressive episode (MDE) in the past year.</w:t>
      </w:r>
    </w:p>
    <w:p w:rsidR="0044303C" w:rsidRPr="0044303C" w:rsidRDefault="0044303C" w:rsidP="0044303C">
      <w:pPr>
        <w:pStyle w:val="BodyText"/>
        <w:ind w:left="2160"/>
        <w:rPr>
          <w:b w:val="0"/>
        </w:rPr>
      </w:pPr>
      <w:r w:rsidRPr="0044303C">
        <w:rPr>
          <w:b w:val="0"/>
        </w:rPr>
        <w:t>-</w:t>
      </w:r>
      <w:r w:rsidRPr="003A289D">
        <w:rPr>
          <w:b w:val="0"/>
        </w:rPr>
        <w:t>Childhood depression is more likely to persist into adulthood if gone untreated.</w:t>
      </w:r>
    </w:p>
    <w:p w:rsidR="0044303C" w:rsidRPr="0044303C" w:rsidRDefault="0044303C" w:rsidP="0044303C">
      <w:pPr>
        <w:pStyle w:val="BodyText"/>
        <w:ind w:left="2160"/>
        <w:rPr>
          <w:b w:val="0"/>
        </w:rPr>
      </w:pPr>
      <w:r w:rsidRPr="0044303C">
        <w:rPr>
          <w:b w:val="0"/>
        </w:rPr>
        <w:t>-</w:t>
      </w:r>
      <w:r w:rsidRPr="003A289D">
        <w:rPr>
          <w:b w:val="0"/>
        </w:rPr>
        <w:t>The number of youth experiencing MDE increased by 99,000 from last years' dataset.</w:t>
      </w:r>
    </w:p>
    <w:p w:rsidR="0044303C" w:rsidRPr="0044303C" w:rsidRDefault="0044303C" w:rsidP="0044303C">
      <w:pPr>
        <w:pStyle w:val="BodyText"/>
        <w:ind w:left="2160"/>
        <w:rPr>
          <w:b w:val="0"/>
        </w:rPr>
      </w:pPr>
      <w:r w:rsidRPr="0044303C">
        <w:rPr>
          <w:b w:val="0"/>
        </w:rPr>
        <w:t>-</w:t>
      </w:r>
      <w:r w:rsidRPr="003A289D">
        <w:rPr>
          <w:b w:val="0"/>
        </w:rPr>
        <w:t xml:space="preserve">The state prevalence of youth with MDE </w:t>
      </w:r>
      <w:proofErr w:type="gramStart"/>
      <w:r w:rsidRPr="0044303C">
        <w:rPr>
          <w:b w:val="0"/>
        </w:rPr>
        <w:t>In</w:t>
      </w:r>
      <w:proofErr w:type="gramEnd"/>
      <w:r w:rsidRPr="0044303C">
        <w:rPr>
          <w:b w:val="0"/>
        </w:rPr>
        <w:t xml:space="preserve"> Pennsylvania 113,000 12.23</w:t>
      </w:r>
    </w:p>
    <w:p w:rsidR="0044303C" w:rsidRPr="0044303C" w:rsidRDefault="0044303C" w:rsidP="0044303C">
      <w:pPr>
        <w:pStyle w:val="BodyText"/>
        <w:ind w:left="2160"/>
        <w:rPr>
          <w:b w:val="0"/>
        </w:rPr>
      </w:pPr>
      <w:r w:rsidRPr="0044303C">
        <w:rPr>
          <w:b w:val="0"/>
        </w:rPr>
        <w:t>-</w:t>
      </w:r>
      <w:r w:rsidRPr="003A289D">
        <w:rPr>
          <w:b w:val="0"/>
        </w:rPr>
        <w:t>9.2% of youth (over 2.2 million youth) cope with severe major depression. Depression in youth often co-occurs with other disorders like substance use, anxiety and disorderly behavior.</w:t>
      </w:r>
    </w:p>
    <w:p w:rsidR="0044303C" w:rsidRPr="0044303C" w:rsidRDefault="0044303C" w:rsidP="0044303C">
      <w:pPr>
        <w:pStyle w:val="BodyText"/>
        <w:ind w:left="2160"/>
        <w:rPr>
          <w:b w:val="0"/>
        </w:rPr>
      </w:pPr>
      <w:r w:rsidRPr="0044303C">
        <w:rPr>
          <w:b w:val="0"/>
        </w:rPr>
        <w:t>-</w:t>
      </w:r>
      <w:r w:rsidRPr="003A289D">
        <w:rPr>
          <w:b w:val="0"/>
        </w:rPr>
        <w:t>The number of youth experiencing Severe MDE increased by 121,000 from last year’s dataset</w:t>
      </w:r>
    </w:p>
    <w:p w:rsidR="0044303C" w:rsidRPr="0044303C" w:rsidRDefault="0044303C" w:rsidP="0044303C">
      <w:pPr>
        <w:pStyle w:val="BodyText"/>
        <w:ind w:left="2160"/>
        <w:rPr>
          <w:b w:val="0"/>
        </w:rPr>
      </w:pPr>
      <w:r w:rsidRPr="0044303C">
        <w:rPr>
          <w:b w:val="0"/>
        </w:rPr>
        <w:t>-</w:t>
      </w:r>
      <w:r w:rsidRPr="003A289D">
        <w:rPr>
          <w:b w:val="0"/>
        </w:rPr>
        <w:t>4.13% of youth in America reported having a substance use disorder in the past year.</w:t>
      </w:r>
    </w:p>
    <w:p w:rsidR="0044303C" w:rsidRPr="0044303C" w:rsidRDefault="0044303C" w:rsidP="0044303C">
      <w:pPr>
        <w:pStyle w:val="BodyText"/>
        <w:ind w:left="2160"/>
        <w:rPr>
          <w:b w:val="0"/>
        </w:rPr>
      </w:pPr>
      <w:r w:rsidRPr="0044303C">
        <w:rPr>
          <w:b w:val="0"/>
        </w:rPr>
        <w:t>-</w:t>
      </w:r>
      <w:r w:rsidRPr="003A289D">
        <w:rPr>
          <w:b w:val="0"/>
        </w:rPr>
        <w:t xml:space="preserve">1.87% had an alcohol use disorder in the past year, while 3.07 percent had an illicit drug use </w:t>
      </w:r>
      <w:proofErr w:type="gramStart"/>
      <w:r w:rsidRPr="003A289D">
        <w:rPr>
          <w:b w:val="0"/>
        </w:rPr>
        <w:t>disorder.</w:t>
      </w:r>
      <w:proofErr w:type="gramEnd"/>
    </w:p>
    <w:p w:rsidR="0044303C" w:rsidRPr="0044303C" w:rsidRDefault="0044303C" w:rsidP="0044303C">
      <w:pPr>
        <w:pStyle w:val="BodyText"/>
        <w:ind w:left="2160"/>
        <w:rPr>
          <w:b w:val="0"/>
        </w:rPr>
      </w:pPr>
      <w:r w:rsidRPr="0044303C">
        <w:rPr>
          <w:b w:val="0"/>
        </w:rPr>
        <w:t>-</w:t>
      </w:r>
      <w:r w:rsidRPr="003A289D">
        <w:rPr>
          <w:b w:val="0"/>
        </w:rPr>
        <w:t>The state prevalence of youth with substance use disorder in the past year ranges from 3.18% in Georgia to 6.54% in Alaska.</w:t>
      </w:r>
    </w:p>
    <w:p w:rsidR="0044303C" w:rsidRPr="003A289D" w:rsidRDefault="0044303C" w:rsidP="0044303C">
      <w:pPr>
        <w:pStyle w:val="BodyText"/>
        <w:ind w:left="2160"/>
        <w:rPr>
          <w:b w:val="0"/>
          <w:bCs w:val="0"/>
        </w:rPr>
      </w:pPr>
      <w:r w:rsidRPr="0044303C">
        <w:rPr>
          <w:b w:val="0"/>
          <w:shd w:val="clear" w:color="auto" w:fill="FFFFFF"/>
        </w:rPr>
        <w:t>-Only .73%* of students are identified as having an ED for IEP.  PA is 15.50%</w:t>
      </w:r>
    </w:p>
    <w:p w:rsidR="0044303C" w:rsidRPr="00B24951" w:rsidRDefault="0044303C" w:rsidP="00B24951">
      <w:pPr>
        <w:ind w:left="1440" w:firstLine="720"/>
        <w:rPr>
          <w:u w:val="single"/>
        </w:rPr>
      </w:pPr>
      <w:r w:rsidRPr="00B24951">
        <w:t xml:space="preserve">Statistics </w:t>
      </w:r>
      <w:r w:rsidR="00B24951" w:rsidRPr="00B24951">
        <w:t>from</w:t>
      </w:r>
      <w:r w:rsidRPr="00B24951">
        <w:rPr>
          <w:u w:val="single"/>
        </w:rPr>
        <w:t xml:space="preserve"> Mental Health America 2020</w:t>
      </w:r>
    </w:p>
    <w:p w:rsidR="0044303C" w:rsidRPr="0044303C" w:rsidRDefault="0044303C" w:rsidP="0044303C">
      <w:pPr>
        <w:spacing w:before="100" w:beforeAutospacing="1" w:after="100" w:afterAutospacing="1"/>
        <w:ind w:left="1440" w:firstLine="720"/>
      </w:pPr>
      <w:r w:rsidRPr="0044303C">
        <w:t xml:space="preserve">In any given year, only 20 percent of children with mental </w:t>
      </w:r>
      <w:r w:rsidRPr="0044303C">
        <w:tab/>
      </w:r>
      <w:r w:rsidRPr="0044303C">
        <w:tab/>
      </w:r>
      <w:r w:rsidRPr="0044303C">
        <w:tab/>
      </w:r>
      <w:r w:rsidRPr="0044303C">
        <w:tab/>
        <w:t>disorders are identified and receive mental health services.</w:t>
      </w:r>
    </w:p>
    <w:p w:rsidR="0044303C" w:rsidRPr="0044303C" w:rsidRDefault="0044303C" w:rsidP="0044303C">
      <w:pPr>
        <w:spacing w:before="100" w:beforeAutospacing="1" w:after="100" w:afterAutospacing="1"/>
        <w:ind w:left="2160"/>
        <w:rPr>
          <w:b/>
        </w:rPr>
      </w:pPr>
      <w:r w:rsidRPr="0044303C">
        <w:rPr>
          <w:b/>
          <w:color w:val="202122"/>
          <w:shd w:val="clear" w:color="auto" w:fill="FFFFFF"/>
        </w:rPr>
        <w:t>The suicide rate in the United States remains comparatively high for the 15 to 24 age group with 5,079 suicides in this age range in 2014, making it the second leading cause of death for that age range</w:t>
      </w:r>
      <w:r w:rsidRPr="0044303C">
        <w:rPr>
          <w:b/>
          <w:shd w:val="clear" w:color="auto" w:fill="FFFFFF"/>
        </w:rPr>
        <w:t>.</w:t>
      </w:r>
    </w:p>
    <w:p w:rsidR="0044303C" w:rsidRPr="0044303C" w:rsidRDefault="0044303C" w:rsidP="0044303C">
      <w:pPr>
        <w:spacing w:before="100" w:beforeAutospacing="1" w:after="100" w:afterAutospacing="1"/>
        <w:ind w:left="2160"/>
      </w:pPr>
      <w:r w:rsidRPr="0044303C">
        <w:t xml:space="preserve">More teenagers and young adults die from suicide than from cancer, heart disease, AIDS, birth defects, stroke, pneumonia, influenza and chronic lung disease </w:t>
      </w:r>
      <w:r w:rsidRPr="0044303C">
        <w:rPr>
          <w:i/>
          <w:iCs/>
        </w:rPr>
        <w:t>combined</w:t>
      </w:r>
      <w:r w:rsidRPr="0044303C">
        <w:t>.</w:t>
      </w:r>
      <w:r w:rsidRPr="0044303C">
        <w:rPr>
          <w:vertAlign w:val="superscript"/>
        </w:rPr>
        <w:t xml:space="preserve">   </w:t>
      </w:r>
      <w:r w:rsidRPr="0044303C">
        <w:t>Over 90 percent of children and adolescents who commit suicide have a mental disorder.</w:t>
      </w:r>
    </w:p>
    <w:p w:rsidR="00B24951" w:rsidRDefault="00B24951" w:rsidP="0044303C">
      <w:pPr>
        <w:spacing w:before="100" w:beforeAutospacing="1" w:after="100" w:afterAutospacing="1"/>
        <w:ind w:left="2160"/>
        <w:rPr>
          <w:b/>
        </w:rPr>
      </w:pPr>
    </w:p>
    <w:p w:rsidR="0044303C" w:rsidRPr="0044303C" w:rsidRDefault="0044303C" w:rsidP="0044303C">
      <w:pPr>
        <w:spacing w:before="100" w:beforeAutospacing="1" w:after="100" w:afterAutospacing="1"/>
        <w:ind w:left="2160"/>
        <w:rPr>
          <w:b/>
        </w:rPr>
      </w:pPr>
      <w:r w:rsidRPr="0044303C">
        <w:rPr>
          <w:b/>
        </w:rPr>
        <w:lastRenderedPageBreak/>
        <w:t>Childhood Poverty Statistics in America</w:t>
      </w:r>
    </w:p>
    <w:p w:rsidR="0044303C" w:rsidRPr="0044303C" w:rsidRDefault="0044303C" w:rsidP="0044303C">
      <w:pPr>
        <w:pStyle w:val="NormalWeb"/>
        <w:shd w:val="clear" w:color="auto" w:fill="FFFFFF"/>
        <w:spacing w:before="0" w:beforeAutospacing="0" w:after="300" w:afterAutospacing="0"/>
        <w:ind w:left="2160"/>
        <w:rPr>
          <w:color w:val="3C3C3C"/>
        </w:rPr>
      </w:pPr>
      <w:r w:rsidRPr="0044303C">
        <w:rPr>
          <w:color w:val="3C3C3C"/>
        </w:rPr>
        <w:t>About 1 in 6 children in America live in poverty, making them the poorest age group in our country, according to data released today by the U.S. Census Bureau. Almost one-third of the 38.1 million people in poverty in the United States are children. While the data show a reduction in child poverty in 2018, the number of poor children – 11.9 million, 16.2 percent of all children – remains unacceptably high. More than 70 percent of poor children come from working families.</w:t>
      </w:r>
    </w:p>
    <w:p w:rsidR="0044303C" w:rsidRPr="0044303C" w:rsidRDefault="0044303C" w:rsidP="0044303C">
      <w:pPr>
        <w:pStyle w:val="NormalWeb"/>
        <w:shd w:val="clear" w:color="auto" w:fill="FFFFFF"/>
        <w:spacing w:before="0" w:beforeAutospacing="0" w:after="300" w:afterAutospacing="0"/>
        <w:ind w:left="2160"/>
        <w:rPr>
          <w:color w:val="3C3C3C"/>
        </w:rPr>
      </w:pPr>
      <w:r w:rsidRPr="0044303C">
        <w:rPr>
          <w:color w:val="3C3C3C"/>
        </w:rPr>
        <w:t>Shamefully, the youngest children are the poorest children. During the most critical stage for brain development, 3.5 million children under 5 were poor in 2018, with 1.6 million of those children living in extreme poverty. Poverty is defined as an annual income below $25,465 for a family of four with two children (less than $2,122 a month). Extreme poverty is half of that level: an annual income of $12,732 for a family of four (less than $1,061 a month).</w:t>
      </w:r>
    </w:p>
    <w:p w:rsidR="0044303C" w:rsidRPr="0044303C" w:rsidRDefault="0044303C" w:rsidP="0044303C">
      <w:pPr>
        <w:pStyle w:val="NormalWeb"/>
        <w:shd w:val="clear" w:color="auto" w:fill="FFFFFF"/>
        <w:spacing w:before="0" w:beforeAutospacing="0" w:after="300" w:afterAutospacing="0"/>
        <w:ind w:left="2160"/>
        <w:rPr>
          <w:color w:val="3C3C3C"/>
        </w:rPr>
      </w:pPr>
      <w:r w:rsidRPr="0044303C">
        <w:rPr>
          <w:color w:val="3C3C3C"/>
        </w:rPr>
        <w:t>The odds continue to be stacked against children of color. Children of color made up nearly three-quarters of all poor children in 2018. Nearly one in four children of color in America is poor, with children of color more than 2.5 times more likely to be poor than White children</w:t>
      </w:r>
    </w:p>
    <w:p w:rsidR="0044303C" w:rsidRPr="0044303C" w:rsidRDefault="0044303C" w:rsidP="0044303C">
      <w:pPr>
        <w:shd w:val="clear" w:color="auto" w:fill="FFFFFF"/>
        <w:spacing w:after="300"/>
        <w:ind w:left="2160"/>
        <w:rPr>
          <w:color w:val="3C3C3C"/>
        </w:rPr>
      </w:pPr>
      <w:r w:rsidRPr="0044303C">
        <w:rPr>
          <w:color w:val="3C3C3C"/>
        </w:rPr>
        <w:t>Data from the Supplemental Poverty Measure (SPM) expands on the Official Poverty Measure by analyzing the impact of various government and other programs on family resources. The SPM suggests that in 2018, 10.7 million children were lifted out of poverty by programs and policies including:</w:t>
      </w:r>
    </w:p>
    <w:p w:rsidR="0044303C" w:rsidRPr="0044303C" w:rsidRDefault="0044303C" w:rsidP="0044303C">
      <w:pPr>
        <w:numPr>
          <w:ilvl w:val="0"/>
          <w:numId w:val="1"/>
        </w:numPr>
        <w:shd w:val="clear" w:color="auto" w:fill="FFFFFF"/>
        <w:spacing w:before="100" w:beforeAutospacing="1" w:after="225"/>
        <w:rPr>
          <w:color w:val="3C3C3C"/>
        </w:rPr>
      </w:pPr>
      <w:r w:rsidRPr="0044303C">
        <w:rPr>
          <w:color w:val="3C3C3C"/>
        </w:rPr>
        <w:t>Supplemental Nutrition Assistance Program (SNAP) or food stamps: 1.3 million children</w:t>
      </w:r>
    </w:p>
    <w:p w:rsidR="0044303C" w:rsidRPr="0044303C" w:rsidRDefault="0044303C" w:rsidP="0044303C">
      <w:pPr>
        <w:numPr>
          <w:ilvl w:val="0"/>
          <w:numId w:val="1"/>
        </w:numPr>
        <w:shd w:val="clear" w:color="auto" w:fill="FFFFFF"/>
        <w:spacing w:before="100" w:beforeAutospacing="1" w:after="225"/>
        <w:rPr>
          <w:color w:val="3C3C3C"/>
        </w:rPr>
      </w:pPr>
      <w:r w:rsidRPr="0044303C">
        <w:rPr>
          <w:color w:val="3C3C3C"/>
        </w:rPr>
        <w:t>Housing subsidies: 926,000 children</w:t>
      </w:r>
    </w:p>
    <w:p w:rsidR="0044303C" w:rsidRPr="0044303C" w:rsidRDefault="0044303C" w:rsidP="0044303C">
      <w:pPr>
        <w:numPr>
          <w:ilvl w:val="0"/>
          <w:numId w:val="1"/>
        </w:numPr>
        <w:shd w:val="clear" w:color="auto" w:fill="FFFFFF"/>
        <w:spacing w:before="100" w:beforeAutospacing="1" w:after="225"/>
        <w:rPr>
          <w:color w:val="3C3C3C"/>
        </w:rPr>
      </w:pPr>
      <w:r w:rsidRPr="0044303C">
        <w:rPr>
          <w:color w:val="3C3C3C"/>
        </w:rPr>
        <w:t>National School Lunch Program: 702,000 children</w:t>
      </w:r>
    </w:p>
    <w:p w:rsidR="0044303C" w:rsidRPr="0044303C" w:rsidRDefault="0044303C" w:rsidP="0044303C">
      <w:pPr>
        <w:numPr>
          <w:ilvl w:val="0"/>
          <w:numId w:val="1"/>
        </w:numPr>
        <w:shd w:val="clear" w:color="auto" w:fill="FFFFFF"/>
        <w:spacing w:before="100" w:beforeAutospacing="1" w:after="225"/>
        <w:rPr>
          <w:color w:val="3C3C3C"/>
        </w:rPr>
      </w:pPr>
      <w:r w:rsidRPr="0044303C">
        <w:rPr>
          <w:color w:val="3C3C3C"/>
        </w:rPr>
        <w:t>Special Supplemental Nutrition Program for Women, Infants, and Children (WIC): 160,000 children</w:t>
      </w:r>
    </w:p>
    <w:p w:rsidR="0044303C" w:rsidRPr="0044303C" w:rsidRDefault="0044303C" w:rsidP="0044303C">
      <w:pPr>
        <w:numPr>
          <w:ilvl w:val="0"/>
          <w:numId w:val="1"/>
        </w:numPr>
        <w:shd w:val="clear" w:color="auto" w:fill="FFFFFF"/>
        <w:spacing w:before="100" w:beforeAutospacing="1" w:after="225"/>
        <w:rPr>
          <w:color w:val="3C3C3C"/>
        </w:rPr>
      </w:pPr>
      <w:r w:rsidRPr="0044303C">
        <w:rPr>
          <w:color w:val="3C3C3C"/>
        </w:rPr>
        <w:t>Supplemental Security Income Program: 515,000 children</w:t>
      </w:r>
    </w:p>
    <w:p w:rsidR="0044303C" w:rsidRPr="0044303C" w:rsidRDefault="0044303C" w:rsidP="0044303C">
      <w:pPr>
        <w:numPr>
          <w:ilvl w:val="0"/>
          <w:numId w:val="1"/>
        </w:numPr>
        <w:shd w:val="clear" w:color="auto" w:fill="FFFFFF"/>
        <w:spacing w:before="100" w:beforeAutospacing="1" w:after="225"/>
        <w:rPr>
          <w:color w:val="3C3C3C"/>
        </w:rPr>
      </w:pPr>
      <w:r w:rsidRPr="0044303C">
        <w:rPr>
          <w:color w:val="3C3C3C"/>
        </w:rPr>
        <w:t>Temporary Assistance for Needy Families (TANF) and general assistance: 209,000 children</w:t>
      </w:r>
    </w:p>
    <w:p w:rsidR="00DC5146" w:rsidRDefault="0044303C" w:rsidP="00DC5146">
      <w:pPr>
        <w:numPr>
          <w:ilvl w:val="0"/>
          <w:numId w:val="1"/>
        </w:numPr>
        <w:shd w:val="clear" w:color="auto" w:fill="FFFFFF"/>
        <w:spacing w:before="100" w:beforeAutospacing="1" w:after="225"/>
        <w:rPr>
          <w:color w:val="3C3C3C"/>
        </w:rPr>
      </w:pPr>
      <w:r w:rsidRPr="0044303C">
        <w:rPr>
          <w:color w:val="3C3C3C"/>
        </w:rPr>
        <w:t>Earned Income Tax Credit and other refundable credits: 4.2 million children</w:t>
      </w:r>
    </w:p>
    <w:p w:rsidR="0044303C" w:rsidRPr="00DC5146" w:rsidRDefault="0044303C" w:rsidP="00DC5146">
      <w:pPr>
        <w:shd w:val="clear" w:color="auto" w:fill="FFFFFF"/>
        <w:spacing w:before="100" w:beforeAutospacing="1" w:after="225"/>
        <w:ind w:left="2160"/>
        <w:rPr>
          <w:color w:val="3C3C3C"/>
        </w:rPr>
      </w:pPr>
      <w:r w:rsidRPr="00DC5146">
        <w:rPr>
          <w:b/>
          <w:bCs/>
        </w:rPr>
        <w:t>The primacy of a developmental model in clinical work with children, its implications for treatment planning, and some of the differences between working with children, adolescents, and adults.</w:t>
      </w:r>
    </w:p>
    <w:p w:rsidR="0044303C" w:rsidRPr="0044303C" w:rsidRDefault="0044303C" w:rsidP="0044303C">
      <w:pPr>
        <w:pStyle w:val="BodyText"/>
        <w:ind w:left="2160"/>
        <w:rPr>
          <w:b w:val="0"/>
          <w:bCs w:val="0"/>
        </w:rPr>
      </w:pPr>
      <w:r w:rsidRPr="0044303C">
        <w:rPr>
          <w:b w:val="0"/>
          <w:bCs w:val="0"/>
        </w:rPr>
        <w:t xml:space="preserve">Some thoughts around the training of child and adolescent clinicians.  The essential knowledge base of clinical social work with youth.  Theoretical paradigms, and the question of eclectic practice.  </w:t>
      </w:r>
    </w:p>
    <w:p w:rsidR="0044303C" w:rsidRDefault="0044303C" w:rsidP="0044303C">
      <w:pPr>
        <w:pStyle w:val="BodyText"/>
        <w:ind w:left="2160"/>
        <w:rPr>
          <w:bCs w:val="0"/>
        </w:rPr>
      </w:pPr>
    </w:p>
    <w:p w:rsidR="0044303C" w:rsidRPr="0044303C" w:rsidRDefault="0044303C" w:rsidP="0044303C">
      <w:pPr>
        <w:pStyle w:val="BodyText"/>
        <w:ind w:left="2160"/>
        <w:rPr>
          <w:bCs w:val="0"/>
        </w:rPr>
      </w:pPr>
      <w:r w:rsidRPr="0044303C">
        <w:rPr>
          <w:bCs w:val="0"/>
        </w:rPr>
        <w:t xml:space="preserve">-different theoretical models: the big three, and how this affects what we see.  What you believe will affect what you look for.  </w:t>
      </w:r>
    </w:p>
    <w:p w:rsidR="0044303C" w:rsidRPr="0044303C" w:rsidRDefault="0044303C" w:rsidP="0044303C">
      <w:pPr>
        <w:pStyle w:val="BodyText"/>
        <w:ind w:left="2160"/>
        <w:rPr>
          <w:b w:val="0"/>
          <w:bCs w:val="0"/>
        </w:rPr>
      </w:pPr>
      <w:r w:rsidRPr="0044303C">
        <w:rPr>
          <w:b w:val="0"/>
          <w:bCs w:val="0"/>
        </w:rPr>
        <w:t>-post-modernist theory and constructivism</w:t>
      </w:r>
    </w:p>
    <w:p w:rsidR="0044303C" w:rsidRPr="0044303C" w:rsidRDefault="0044303C" w:rsidP="0044303C">
      <w:pPr>
        <w:pStyle w:val="BodyText"/>
        <w:ind w:left="2160"/>
        <w:rPr>
          <w:b w:val="0"/>
          <w:bCs w:val="0"/>
        </w:rPr>
      </w:pPr>
      <w:r w:rsidRPr="0044303C">
        <w:rPr>
          <w:b w:val="0"/>
          <w:bCs w:val="0"/>
        </w:rPr>
        <w:t>-generalist vs. specialist; a strong theoretical perspective vs. eclecticism</w:t>
      </w:r>
    </w:p>
    <w:p w:rsidR="0044303C" w:rsidRPr="0044303C" w:rsidRDefault="0044303C" w:rsidP="0044303C">
      <w:pPr>
        <w:pStyle w:val="BodyText"/>
        <w:ind w:left="2160"/>
        <w:rPr>
          <w:b w:val="0"/>
          <w:bCs w:val="0"/>
        </w:rPr>
      </w:pPr>
      <w:r w:rsidRPr="0044303C">
        <w:rPr>
          <w:b w:val="0"/>
          <w:bCs w:val="0"/>
        </w:rPr>
        <w:t>-movement towards and more scientific model that takes into account what works for whom given problem presentation and their ecology</w:t>
      </w:r>
    </w:p>
    <w:p w:rsidR="0064578B" w:rsidRDefault="0044303C" w:rsidP="00CB2125">
      <w:pPr>
        <w:pStyle w:val="BodyText"/>
        <w:ind w:left="2160"/>
      </w:pPr>
      <w:r w:rsidRPr="0044303C">
        <w:rPr>
          <w:b w:val="0"/>
          <w:bCs w:val="0"/>
        </w:rPr>
        <w:t>-effectiveness studies with therapy for children and adolescents.  76% vs   80% with adults</w:t>
      </w:r>
      <w:r w:rsidRPr="0044303C">
        <w:t>.</w:t>
      </w:r>
    </w:p>
    <w:p w:rsidR="00365991" w:rsidRDefault="00365991" w:rsidP="00CB2125">
      <w:pPr>
        <w:pStyle w:val="BodyText"/>
        <w:ind w:left="2160"/>
      </w:pPr>
    </w:p>
    <w:p w:rsidR="00365991" w:rsidRDefault="00365991" w:rsidP="00CB2125">
      <w:pPr>
        <w:pStyle w:val="BodyText"/>
        <w:ind w:left="2160"/>
      </w:pPr>
      <w:r>
        <w:t>History of CSW with Youth-</w:t>
      </w:r>
    </w:p>
    <w:p w:rsidR="00365991" w:rsidRDefault="00365991" w:rsidP="00CB2125">
      <w:pPr>
        <w:pStyle w:val="BodyText"/>
        <w:ind w:left="2160"/>
        <w:rPr>
          <w:b w:val="0"/>
        </w:rPr>
      </w:pPr>
      <w:r>
        <w:rPr>
          <w:b w:val="0"/>
        </w:rPr>
        <w:t>-early work with children in families and through the court systems, as well as advocacy.  Settlement Houses.</w:t>
      </w:r>
    </w:p>
    <w:p w:rsidR="00365991" w:rsidRDefault="00365991" w:rsidP="00CB2125">
      <w:pPr>
        <w:pStyle w:val="BodyText"/>
        <w:ind w:left="2160"/>
        <w:rPr>
          <w:b w:val="0"/>
        </w:rPr>
      </w:pPr>
      <w:r>
        <w:rPr>
          <w:b w:val="0"/>
        </w:rPr>
        <w:t>-Mary Richmond’s diagnosis of social factors</w:t>
      </w:r>
    </w:p>
    <w:p w:rsidR="00365991" w:rsidRDefault="00365991" w:rsidP="00CB2125">
      <w:pPr>
        <w:pStyle w:val="BodyText"/>
        <w:ind w:left="2160"/>
        <w:rPr>
          <w:b w:val="0"/>
        </w:rPr>
      </w:pPr>
      <w:r>
        <w:rPr>
          <w:b w:val="0"/>
        </w:rPr>
        <w:t>-Child Guidance movement in association with the prevalence of psychoanalytic theories in CSW education</w:t>
      </w:r>
    </w:p>
    <w:p w:rsidR="00365991" w:rsidRDefault="00365991" w:rsidP="00CB2125">
      <w:pPr>
        <w:pStyle w:val="BodyText"/>
        <w:ind w:left="2160"/>
        <w:rPr>
          <w:b w:val="0"/>
        </w:rPr>
      </w:pPr>
      <w:r>
        <w:rPr>
          <w:b w:val="0"/>
        </w:rPr>
        <w:t>-rise of Child Welfare System post- WW II</w:t>
      </w:r>
    </w:p>
    <w:p w:rsidR="00365991" w:rsidRDefault="00365991" w:rsidP="00CB2125">
      <w:pPr>
        <w:pStyle w:val="BodyText"/>
        <w:ind w:left="2160"/>
        <w:rPr>
          <w:b w:val="0"/>
        </w:rPr>
      </w:pPr>
      <w:r>
        <w:rPr>
          <w:b w:val="0"/>
        </w:rPr>
        <w:t xml:space="preserve">-influence of Family Therapy </w:t>
      </w:r>
    </w:p>
    <w:p w:rsidR="00365991" w:rsidRDefault="00365991" w:rsidP="00CB2125">
      <w:pPr>
        <w:pStyle w:val="BodyText"/>
        <w:ind w:left="2160"/>
        <w:rPr>
          <w:b w:val="0"/>
        </w:rPr>
      </w:pPr>
      <w:r>
        <w:rPr>
          <w:b w:val="0"/>
        </w:rPr>
        <w:t>-movement towards a more integrated approach</w:t>
      </w:r>
    </w:p>
    <w:p w:rsidR="00DC5146" w:rsidRPr="00365991" w:rsidRDefault="00DC5146" w:rsidP="00CB2125">
      <w:pPr>
        <w:pStyle w:val="BodyText"/>
        <w:ind w:left="2160"/>
        <w:rPr>
          <w:b w:val="0"/>
        </w:rPr>
      </w:pPr>
      <w:r>
        <w:rPr>
          <w:b w:val="0"/>
        </w:rPr>
        <w:t>-evidenced based practice.</w:t>
      </w:r>
      <w:bookmarkStart w:id="0" w:name="_GoBack"/>
      <w:bookmarkEnd w:id="0"/>
    </w:p>
    <w:p w:rsidR="00CB2125" w:rsidRDefault="00CB2125" w:rsidP="00DC5146">
      <w:pPr>
        <w:pStyle w:val="BodyText"/>
        <w:ind w:left="1440" w:firstLine="720"/>
      </w:pPr>
      <w:r>
        <w:t>Cutting Edge Issues:</w:t>
      </w:r>
    </w:p>
    <w:p w:rsidR="00CB2125" w:rsidRDefault="00CB2125" w:rsidP="00CB2125">
      <w:pPr>
        <w:pStyle w:val="BodyText"/>
        <w:numPr>
          <w:ilvl w:val="0"/>
          <w:numId w:val="2"/>
        </w:numPr>
        <w:rPr>
          <w:b w:val="0"/>
        </w:rPr>
      </w:pPr>
      <w:r>
        <w:rPr>
          <w:b w:val="0"/>
        </w:rPr>
        <w:t xml:space="preserve"> The impact on children of deteriorating social conditions- violence, poverty, but now also the aftermath of the pandemic and the impact of global warming</w:t>
      </w:r>
    </w:p>
    <w:p w:rsidR="00CD6123" w:rsidRPr="00CD6123" w:rsidRDefault="00CD6123" w:rsidP="00CD6123">
      <w:pPr>
        <w:pStyle w:val="BodyText"/>
        <w:numPr>
          <w:ilvl w:val="0"/>
          <w:numId w:val="2"/>
        </w:numPr>
        <w:rPr>
          <w:b w:val="0"/>
        </w:rPr>
      </w:pPr>
      <w:r>
        <w:rPr>
          <w:b w:val="0"/>
        </w:rPr>
        <w:t xml:space="preserve">Viewing development through an </w:t>
      </w:r>
      <w:r>
        <w:rPr>
          <w:b w:val="0"/>
        </w:rPr>
        <w:t>attachment</w:t>
      </w:r>
      <w:r>
        <w:rPr>
          <w:b w:val="0"/>
        </w:rPr>
        <w:t xml:space="preserve"> lens</w:t>
      </w:r>
      <w:r>
        <w:rPr>
          <w:b w:val="0"/>
        </w:rPr>
        <w:t>.</w:t>
      </w:r>
    </w:p>
    <w:p w:rsidR="00CB2125" w:rsidRDefault="00CB2125" w:rsidP="00CB2125">
      <w:pPr>
        <w:pStyle w:val="BodyText"/>
        <w:numPr>
          <w:ilvl w:val="0"/>
          <w:numId w:val="2"/>
        </w:numPr>
        <w:rPr>
          <w:b w:val="0"/>
        </w:rPr>
      </w:pPr>
      <w:r>
        <w:rPr>
          <w:b w:val="0"/>
        </w:rPr>
        <w:t>Selecting intervention alternatives at multiple levels</w:t>
      </w:r>
      <w:r w:rsidR="00CD6123">
        <w:rPr>
          <w:b w:val="0"/>
        </w:rPr>
        <w:t>; understanding and utilizing evidence-based practice</w:t>
      </w:r>
    </w:p>
    <w:p w:rsidR="00CB2125" w:rsidRDefault="00CB2125" w:rsidP="00CB2125">
      <w:pPr>
        <w:pStyle w:val="BodyText"/>
        <w:numPr>
          <w:ilvl w:val="0"/>
          <w:numId w:val="2"/>
        </w:numPr>
        <w:rPr>
          <w:b w:val="0"/>
        </w:rPr>
      </w:pPr>
      <w:r>
        <w:rPr>
          <w:b w:val="0"/>
        </w:rPr>
        <w:t xml:space="preserve">Working with severely </w:t>
      </w:r>
      <w:r w:rsidR="00CD6123">
        <w:rPr>
          <w:b w:val="0"/>
        </w:rPr>
        <w:t>traumatized children- trauma-informed practice</w:t>
      </w:r>
    </w:p>
    <w:p w:rsidR="00CD6123" w:rsidRDefault="00CD6123" w:rsidP="00CB2125">
      <w:pPr>
        <w:pStyle w:val="BodyText"/>
        <w:numPr>
          <w:ilvl w:val="0"/>
          <w:numId w:val="2"/>
        </w:numPr>
        <w:rPr>
          <w:b w:val="0"/>
        </w:rPr>
      </w:pPr>
      <w:r>
        <w:rPr>
          <w:b w:val="0"/>
        </w:rPr>
        <w:t>Recognizing and embracing changing views about gender, gender identity, and how this may affect children’s and families beliefs and their experiences</w:t>
      </w:r>
    </w:p>
    <w:p w:rsidR="00CD6123" w:rsidRDefault="00CD6123" w:rsidP="00CB2125">
      <w:pPr>
        <w:pStyle w:val="BodyText"/>
        <w:numPr>
          <w:ilvl w:val="0"/>
          <w:numId w:val="2"/>
        </w:numPr>
        <w:rPr>
          <w:b w:val="0"/>
        </w:rPr>
      </w:pPr>
      <w:r>
        <w:rPr>
          <w:b w:val="0"/>
        </w:rPr>
        <w:t>Engaging in discourse around diversity, equity, and inclusion as part of the therapeutic process, with an understanding of intersectionality</w:t>
      </w:r>
      <w:r w:rsidR="00B24951">
        <w:rPr>
          <w:b w:val="0"/>
        </w:rPr>
        <w:t>.</w:t>
      </w:r>
    </w:p>
    <w:p w:rsidR="00CD6123" w:rsidRDefault="00CD6123" w:rsidP="00CB2125">
      <w:pPr>
        <w:pStyle w:val="BodyText"/>
        <w:numPr>
          <w:ilvl w:val="0"/>
          <w:numId w:val="2"/>
        </w:numPr>
        <w:rPr>
          <w:b w:val="0"/>
        </w:rPr>
      </w:pPr>
      <w:r>
        <w:rPr>
          <w:b w:val="0"/>
        </w:rPr>
        <w:t>Understanding dimensions of neuro-diversity.</w:t>
      </w:r>
    </w:p>
    <w:p w:rsidR="00CD6123" w:rsidRDefault="00CD6123" w:rsidP="00CB2125">
      <w:pPr>
        <w:pStyle w:val="BodyText"/>
        <w:numPr>
          <w:ilvl w:val="0"/>
          <w:numId w:val="2"/>
        </w:numPr>
        <w:rPr>
          <w:b w:val="0"/>
        </w:rPr>
      </w:pPr>
      <w:r>
        <w:rPr>
          <w:b w:val="0"/>
        </w:rPr>
        <w:t>Working with youth around the ubiquitous presence of online engagement, social media, and balance in their lives.</w:t>
      </w:r>
    </w:p>
    <w:p w:rsidR="00CD6123" w:rsidRPr="00B24951" w:rsidRDefault="00CD6123" w:rsidP="00B24951">
      <w:pPr>
        <w:pStyle w:val="BodyText"/>
        <w:numPr>
          <w:ilvl w:val="0"/>
          <w:numId w:val="2"/>
        </w:numPr>
        <w:rPr>
          <w:b w:val="0"/>
        </w:rPr>
      </w:pPr>
      <w:r>
        <w:rPr>
          <w:b w:val="0"/>
        </w:rPr>
        <w:t xml:space="preserve">Preparing for clinical work with very divergent </w:t>
      </w:r>
      <w:proofErr w:type="spellStart"/>
      <w:r>
        <w:rPr>
          <w:b w:val="0"/>
        </w:rPr>
        <w:t>view points</w:t>
      </w:r>
      <w:proofErr w:type="spellEnd"/>
      <w:r>
        <w:rPr>
          <w:b w:val="0"/>
        </w:rPr>
        <w:t xml:space="preserve"> </w:t>
      </w:r>
      <w:proofErr w:type="gramStart"/>
      <w:r>
        <w:rPr>
          <w:b w:val="0"/>
        </w:rPr>
        <w:t>in  increasingly</w:t>
      </w:r>
      <w:proofErr w:type="gramEnd"/>
      <w:r>
        <w:rPr>
          <w:b w:val="0"/>
        </w:rPr>
        <w:t xml:space="preserve"> polarized </w:t>
      </w:r>
      <w:r w:rsidR="00B24951">
        <w:rPr>
          <w:b w:val="0"/>
        </w:rPr>
        <w:t>communities.</w:t>
      </w:r>
    </w:p>
    <w:p w:rsidR="00CD6123" w:rsidRDefault="00B24951" w:rsidP="00CB2125">
      <w:pPr>
        <w:pStyle w:val="BodyText"/>
        <w:numPr>
          <w:ilvl w:val="0"/>
          <w:numId w:val="2"/>
        </w:numPr>
        <w:rPr>
          <w:b w:val="0"/>
        </w:rPr>
      </w:pPr>
      <w:r>
        <w:rPr>
          <w:b w:val="0"/>
        </w:rPr>
        <w:t>Utilizing various self-care strategies to avoid traumatization and burnout.</w:t>
      </w:r>
    </w:p>
    <w:sectPr w:rsidR="00CD6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424E0"/>
    <w:multiLevelType w:val="hybridMultilevel"/>
    <w:tmpl w:val="FB742E82"/>
    <w:lvl w:ilvl="0" w:tplc="0CB259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04508FF"/>
    <w:multiLevelType w:val="multilevel"/>
    <w:tmpl w:val="8BFEEFA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3C"/>
    <w:rsid w:val="00365991"/>
    <w:rsid w:val="0044303C"/>
    <w:rsid w:val="0064578B"/>
    <w:rsid w:val="00B24951"/>
    <w:rsid w:val="00CB2125"/>
    <w:rsid w:val="00CD6123"/>
    <w:rsid w:val="00DC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CABD0-C681-47B2-9D2E-6CF6410C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0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303C"/>
    <w:rPr>
      <w:b/>
      <w:bCs/>
    </w:rPr>
  </w:style>
  <w:style w:type="character" w:customStyle="1" w:styleId="BodyTextChar">
    <w:name w:val="Body Text Char"/>
    <w:basedOn w:val="DefaultParagraphFont"/>
    <w:link w:val="BodyText"/>
    <w:rsid w:val="004430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430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86355">
      <w:bodyDiv w:val="1"/>
      <w:marLeft w:val="0"/>
      <w:marRight w:val="0"/>
      <w:marTop w:val="0"/>
      <w:marBottom w:val="0"/>
      <w:divBdr>
        <w:top w:val="none" w:sz="0" w:space="0" w:color="auto"/>
        <w:left w:val="none" w:sz="0" w:space="0" w:color="auto"/>
        <w:bottom w:val="none" w:sz="0" w:space="0" w:color="auto"/>
        <w:right w:val="none" w:sz="0" w:space="0" w:color="auto"/>
      </w:divBdr>
    </w:div>
    <w:div w:id="110565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Hurster</dc:creator>
  <cp:keywords/>
  <dc:description/>
  <cp:lastModifiedBy>Thomas Hurster</cp:lastModifiedBy>
  <cp:revision>3</cp:revision>
  <dcterms:created xsi:type="dcterms:W3CDTF">2021-07-06T21:36:00Z</dcterms:created>
  <dcterms:modified xsi:type="dcterms:W3CDTF">2021-07-06T21:42:00Z</dcterms:modified>
</cp:coreProperties>
</file>