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796E" w14:textId="77777777" w:rsidR="0044303C" w:rsidRPr="00AC683C" w:rsidRDefault="0044303C" w:rsidP="0044303C">
      <w:pPr>
        <w:pStyle w:val="BodyText"/>
        <w:rPr>
          <w:sz w:val="28"/>
          <w:szCs w:val="28"/>
        </w:rPr>
      </w:pPr>
      <w:r w:rsidRPr="00AC683C">
        <w:rPr>
          <w:sz w:val="28"/>
          <w:szCs w:val="28"/>
        </w:rPr>
        <w:t>The changing social ecology of childhood and adolescence in the United States.</w:t>
      </w:r>
    </w:p>
    <w:p w14:paraId="2CD056F1" w14:textId="77777777" w:rsidR="0044303C" w:rsidRPr="00B24951" w:rsidRDefault="0044303C" w:rsidP="0044303C">
      <w:pPr>
        <w:pStyle w:val="BodyText"/>
        <w:ind w:left="2160"/>
        <w:rPr>
          <w:b w:val="0"/>
          <w:bCs w:val="0"/>
        </w:rPr>
      </w:pPr>
      <w:r w:rsidRPr="00B24951">
        <w:rPr>
          <w:b w:val="0"/>
          <w:bCs w:val="0"/>
        </w:rPr>
        <w:t>-Achenbach and Howell- in 1993, compared scores from CBCL from 1976,1981,</w:t>
      </w:r>
      <w:r w:rsidR="00B24951">
        <w:rPr>
          <w:b w:val="0"/>
          <w:bCs w:val="0"/>
        </w:rPr>
        <w:t xml:space="preserve"> </w:t>
      </w:r>
      <w:r w:rsidRPr="00B24951">
        <w:rPr>
          <w:b w:val="0"/>
          <w:bCs w:val="0"/>
        </w:rPr>
        <w:t>1987 (random sample of 2000 children, ages 7 –16): in 1989 the 118 items describing behavioral and emotional problems were higher, and competence items lower than either of the previous samplings.  Not the magnitude of the changes, but the consistency that was so impressive- areas measuring withdrawn or social problems, attention or thought problems, delinquency and aggression, anxiety and depression.  Again in 2002.</w:t>
      </w:r>
    </w:p>
    <w:p w14:paraId="4FA41731" w14:textId="77777777" w:rsidR="0044303C" w:rsidRDefault="0044303C" w:rsidP="0044303C">
      <w:pPr>
        <w:pStyle w:val="BodyText"/>
        <w:ind w:left="2160"/>
        <w:rPr>
          <w:b w:val="0"/>
          <w:bCs w:val="0"/>
        </w:rPr>
      </w:pPr>
    </w:p>
    <w:p w14:paraId="651AA31E" w14:textId="6C5BFA23" w:rsidR="0044303C" w:rsidRPr="00AC683C" w:rsidRDefault="0044303C" w:rsidP="006C3C35">
      <w:pPr>
        <w:rPr>
          <w:b/>
          <w:bCs/>
          <w:sz w:val="28"/>
          <w:szCs w:val="28"/>
          <w:u w:val="single"/>
        </w:rPr>
      </w:pPr>
      <w:r w:rsidRPr="00AC683C">
        <w:rPr>
          <w:b/>
          <w:bCs/>
          <w:sz w:val="28"/>
          <w:szCs w:val="28"/>
        </w:rPr>
        <w:t>Currently</w:t>
      </w:r>
      <w:r w:rsidR="006C3C35" w:rsidRPr="00AC683C">
        <w:rPr>
          <w:b/>
          <w:bCs/>
          <w:sz w:val="28"/>
          <w:szCs w:val="28"/>
        </w:rPr>
        <w:t xml:space="preserve"> (</w:t>
      </w:r>
      <w:r w:rsidR="006C3C35" w:rsidRPr="00AC683C">
        <w:rPr>
          <w:b/>
          <w:bCs/>
          <w:sz w:val="28"/>
          <w:szCs w:val="28"/>
        </w:rPr>
        <w:t>Statistics from</w:t>
      </w:r>
      <w:r w:rsidR="006C3C35" w:rsidRPr="00AC683C">
        <w:rPr>
          <w:b/>
          <w:bCs/>
          <w:sz w:val="28"/>
          <w:szCs w:val="28"/>
          <w:u w:val="single"/>
        </w:rPr>
        <w:t xml:space="preserve"> Mental Health America 2023</w:t>
      </w:r>
      <w:r w:rsidR="00632820" w:rsidRPr="00AC683C">
        <w:rPr>
          <w:b/>
          <w:bCs/>
          <w:sz w:val="28"/>
          <w:szCs w:val="28"/>
          <w:u w:val="single"/>
        </w:rPr>
        <w:t xml:space="preserve"> &amp; the CDC</w:t>
      </w:r>
      <w:r w:rsidR="00AC683C" w:rsidRPr="00AC683C">
        <w:rPr>
          <w:b/>
          <w:bCs/>
          <w:sz w:val="28"/>
          <w:szCs w:val="28"/>
          <w:u w:val="single"/>
        </w:rPr>
        <w:t>):</w:t>
      </w:r>
      <w:r w:rsidRPr="00AC683C">
        <w:rPr>
          <w:b/>
          <w:bCs/>
          <w:sz w:val="28"/>
          <w:szCs w:val="28"/>
        </w:rPr>
        <w:t xml:space="preserve"> </w:t>
      </w:r>
    </w:p>
    <w:p w14:paraId="50B3521E" w14:textId="345D5D0E" w:rsidR="006C3C35" w:rsidRPr="00AC683C" w:rsidRDefault="006C3C35" w:rsidP="006C3C35">
      <w:pPr>
        <w:pStyle w:val="BodyText"/>
        <w:ind w:left="720"/>
        <w:rPr>
          <w:b w:val="0"/>
          <w:bCs w:val="0"/>
          <w:color w:val="262626"/>
          <w:shd w:val="clear" w:color="auto" w:fill="FFFFFF"/>
        </w:rPr>
      </w:pPr>
      <w:r w:rsidRPr="00AC683C">
        <w:rPr>
          <w:b w:val="0"/>
          <w:bCs w:val="0"/>
          <w:color w:val="262626"/>
          <w:shd w:val="clear" w:color="auto" w:fill="FFFFFF"/>
        </w:rPr>
        <w:t>46 percent of Americans will meet the criteria for a diagnosable mental health condition sometime in their life, and half of those people will develop conditions by the age of 14</w:t>
      </w:r>
      <w:r w:rsidRPr="00AC683C">
        <w:rPr>
          <w:b w:val="0"/>
          <w:bCs w:val="0"/>
          <w:color w:val="262626"/>
          <w:shd w:val="clear" w:color="auto" w:fill="FFFFFF"/>
        </w:rPr>
        <w:t>.</w:t>
      </w:r>
    </w:p>
    <w:p w14:paraId="125F48DB" w14:textId="77777777" w:rsidR="006C3C35" w:rsidRPr="006C3C35" w:rsidRDefault="006C3C35" w:rsidP="006C3C35">
      <w:pPr>
        <w:pStyle w:val="BodyText"/>
        <w:ind w:left="720"/>
        <w:rPr>
          <w:b w:val="0"/>
          <w:bCs w:val="0"/>
        </w:rPr>
      </w:pPr>
    </w:p>
    <w:p w14:paraId="49F09A74" w14:textId="62572D07" w:rsidR="0044303C" w:rsidRPr="006C3C35" w:rsidRDefault="006C3C35" w:rsidP="006C3C35">
      <w:pPr>
        <w:numPr>
          <w:ilvl w:val="0"/>
          <w:numId w:val="3"/>
        </w:numPr>
        <w:shd w:val="clear" w:color="auto" w:fill="FFFFFF"/>
        <w:spacing w:after="225"/>
        <w:rPr>
          <w:color w:val="262626"/>
        </w:rPr>
      </w:pPr>
      <w:r w:rsidRPr="00AC683C">
        <w:rPr>
          <w:rStyle w:val="Strong"/>
          <w:b w:val="0"/>
          <w:bCs w:val="0"/>
          <w:color w:val="262626"/>
        </w:rPr>
        <w:t>Over 1 in 10 youth in the U.S. are experiencing depression that is severely impairing their ability to function at school or work, at home, with family, or in their social life.</w:t>
      </w:r>
      <w:r w:rsidRPr="006C3C35">
        <w:rPr>
          <w:color w:val="262626"/>
        </w:rPr>
        <w:t xml:space="preserve"> 16.39% of youth (age 12-17) report suffering from at least one major depressive episode (MDE) in the past year. 11.5% of youth (over 2.7 million youth) are experiencing severe major </w:t>
      </w:r>
      <w:r w:rsidR="00632820" w:rsidRPr="006C3C35">
        <w:rPr>
          <w:color w:val="262626"/>
        </w:rPr>
        <w:t>depression.</w:t>
      </w:r>
    </w:p>
    <w:p w14:paraId="2AD497DD" w14:textId="77777777" w:rsidR="006C3C35" w:rsidRPr="006C3C35" w:rsidRDefault="006C3C35" w:rsidP="006C3C35">
      <w:pPr>
        <w:numPr>
          <w:ilvl w:val="0"/>
          <w:numId w:val="4"/>
        </w:numPr>
        <w:shd w:val="clear" w:color="auto" w:fill="FFFFFF"/>
        <w:spacing w:after="225"/>
        <w:rPr>
          <w:color w:val="262626"/>
        </w:rPr>
      </w:pPr>
      <w:r w:rsidRPr="00AC683C">
        <w:rPr>
          <w:rStyle w:val="Strong"/>
          <w:b w:val="0"/>
          <w:bCs w:val="0"/>
          <w:color w:val="262626"/>
        </w:rPr>
        <w:t>6.34% of youth in the U.S. reported a substance use disorder in the past year</w:t>
      </w:r>
      <w:r w:rsidRPr="006C3C35">
        <w:rPr>
          <w:rStyle w:val="Strong"/>
          <w:color w:val="262626"/>
        </w:rPr>
        <w:t>.</w:t>
      </w:r>
      <w:r w:rsidRPr="006C3C35">
        <w:rPr>
          <w:color w:val="262626"/>
        </w:rPr>
        <w:t> That is equivalent to over 1.5 million youth in the U.S. who meet the criteria for an illicit drug or alcohol use disorder.</w:t>
      </w:r>
    </w:p>
    <w:p w14:paraId="38D2C09E" w14:textId="77777777" w:rsidR="006C3C35" w:rsidRPr="006C3C35" w:rsidRDefault="006C3C35" w:rsidP="006C3C35">
      <w:pPr>
        <w:numPr>
          <w:ilvl w:val="0"/>
          <w:numId w:val="4"/>
        </w:numPr>
        <w:shd w:val="clear" w:color="auto" w:fill="FFFFFF"/>
        <w:spacing w:after="225"/>
        <w:rPr>
          <w:color w:val="262626"/>
        </w:rPr>
      </w:pPr>
      <w:r w:rsidRPr="006C3C35">
        <w:rPr>
          <w:color w:val="262626"/>
        </w:rPr>
        <w:t>22.87% of adults who report experiencing 14 or more mentally unhealthy days each month were not able to see a doctor due to costs. In Georgia (ranked 51), over one-third of adults experiencing frequent mental distress are unable to afford a doctor’s visit.</w:t>
      </w:r>
    </w:p>
    <w:p w14:paraId="0834443E" w14:textId="77777777" w:rsidR="006C3C35" w:rsidRPr="00AC683C" w:rsidRDefault="006C3C35" w:rsidP="006C3C35">
      <w:pPr>
        <w:numPr>
          <w:ilvl w:val="0"/>
          <w:numId w:val="4"/>
        </w:numPr>
        <w:shd w:val="clear" w:color="auto" w:fill="FFFFFF"/>
        <w:spacing w:after="225"/>
        <w:rPr>
          <w:b/>
          <w:bCs/>
          <w:color w:val="262626"/>
        </w:rPr>
      </w:pPr>
      <w:r w:rsidRPr="00AC683C">
        <w:rPr>
          <w:rStyle w:val="Strong"/>
          <w:b w:val="0"/>
          <w:bCs w:val="0"/>
          <w:color w:val="262626"/>
        </w:rPr>
        <w:t>59.8% of youth with major depression do not receive any mental health treatment.</w:t>
      </w:r>
      <w:r w:rsidRPr="00AC683C">
        <w:rPr>
          <w:color w:val="262626"/>
        </w:rPr>
        <w:t> Asian youth with major depression were least likely to receive specialty mental health care, with 78% reporting they did not receive mental health services in the past year. </w:t>
      </w:r>
      <w:r w:rsidRPr="00AC683C">
        <w:rPr>
          <w:rStyle w:val="Strong"/>
          <w:b w:val="0"/>
          <w:bCs w:val="0"/>
          <w:color w:val="262626"/>
        </w:rPr>
        <w:t>In South Carolina, the lowest ranking state, nearly 8 in 10 youth with depression do not receive care.</w:t>
      </w:r>
    </w:p>
    <w:p w14:paraId="582AC601" w14:textId="77777777" w:rsidR="006C3C35" w:rsidRPr="006C3C35" w:rsidRDefault="006C3C35" w:rsidP="006C3C35">
      <w:pPr>
        <w:numPr>
          <w:ilvl w:val="0"/>
          <w:numId w:val="4"/>
        </w:numPr>
        <w:shd w:val="clear" w:color="auto" w:fill="FFFFFF"/>
        <w:spacing w:after="225"/>
        <w:rPr>
          <w:color w:val="262626"/>
        </w:rPr>
      </w:pPr>
      <w:r w:rsidRPr="006C3C35">
        <w:rPr>
          <w:color w:val="262626"/>
        </w:rPr>
        <w:t>Nationally, only 28% of youth with severe depression receive some consistent treatment (7-25+ visits in a year).  Most (57.3%) youth with severe depression do not receive any care.</w:t>
      </w:r>
    </w:p>
    <w:p w14:paraId="7BFAF923" w14:textId="77777777" w:rsidR="006C3C35" w:rsidRPr="006C3C35" w:rsidRDefault="006C3C35" w:rsidP="006C3C35">
      <w:pPr>
        <w:numPr>
          <w:ilvl w:val="0"/>
          <w:numId w:val="4"/>
        </w:numPr>
        <w:shd w:val="clear" w:color="auto" w:fill="FFFFFF"/>
        <w:spacing w:after="225"/>
        <w:rPr>
          <w:color w:val="262626"/>
        </w:rPr>
      </w:pPr>
      <w:r w:rsidRPr="00AC683C">
        <w:rPr>
          <w:rStyle w:val="Strong"/>
          <w:b w:val="0"/>
          <w:bCs w:val="0"/>
          <w:color w:val="262626"/>
        </w:rPr>
        <w:t>Nationally, 1 in 10 youth who are covered under private insurance do not have coverage for mental or emotional difficulties</w:t>
      </w:r>
      <w:r w:rsidRPr="006C3C35">
        <w:rPr>
          <w:rStyle w:val="Strong"/>
          <w:color w:val="262626"/>
        </w:rPr>
        <w:t> </w:t>
      </w:r>
      <w:r w:rsidRPr="006C3C35">
        <w:rPr>
          <w:color w:val="262626"/>
        </w:rPr>
        <w:t>– totaling over 1.2 million youth. In Arkansas (ranked 51), nearly one-quarter of youth with private insurance do not have coverage for mental health care.</w:t>
      </w:r>
    </w:p>
    <w:p w14:paraId="6634BFAE" w14:textId="7E37E4E6" w:rsidR="006C3C35" w:rsidRPr="006C3C35" w:rsidRDefault="006C3C35" w:rsidP="006C3C35">
      <w:pPr>
        <w:numPr>
          <w:ilvl w:val="0"/>
          <w:numId w:val="4"/>
        </w:numPr>
        <w:shd w:val="clear" w:color="auto" w:fill="FFFFFF"/>
        <w:spacing w:after="225"/>
        <w:rPr>
          <w:color w:val="262626"/>
        </w:rPr>
      </w:pPr>
      <w:r w:rsidRPr="006C3C35">
        <w:rPr>
          <w:color w:val="262626"/>
        </w:rPr>
        <w:t xml:space="preserve">Only .718 percent of students are identified with emotional disturbance for an individualized education program (IEP). IEPs, with sufficient resources for schools and teachers, are critical for ensuring that youth with disabilities can receive the individualized services, </w:t>
      </w:r>
      <w:r w:rsidR="00AC683C" w:rsidRPr="006C3C35">
        <w:rPr>
          <w:color w:val="262626"/>
        </w:rPr>
        <w:t>support</w:t>
      </w:r>
      <w:r w:rsidR="00AC683C">
        <w:rPr>
          <w:color w:val="262626"/>
        </w:rPr>
        <w:t>,</w:t>
      </w:r>
      <w:r w:rsidRPr="006C3C35">
        <w:rPr>
          <w:color w:val="262626"/>
        </w:rPr>
        <w:t xml:space="preserve"> and accommodations to succeed in a school setting.</w:t>
      </w:r>
    </w:p>
    <w:p w14:paraId="0DEF7E89" w14:textId="7F0631B4" w:rsidR="00632820" w:rsidRDefault="006C3C35" w:rsidP="00632820">
      <w:pPr>
        <w:numPr>
          <w:ilvl w:val="0"/>
          <w:numId w:val="4"/>
        </w:numPr>
        <w:shd w:val="clear" w:color="auto" w:fill="FFFFFF"/>
        <w:spacing w:after="225"/>
        <w:rPr>
          <w:color w:val="262626"/>
        </w:rPr>
      </w:pPr>
      <w:r w:rsidRPr="00AC683C">
        <w:rPr>
          <w:rStyle w:val="Strong"/>
          <w:b w:val="0"/>
          <w:bCs w:val="0"/>
          <w:color w:val="262626"/>
        </w:rPr>
        <w:lastRenderedPageBreak/>
        <w:t>In the U.S., there are an estimated 350 individuals for every one mental health provider</w:t>
      </w:r>
      <w:r w:rsidRPr="006C3C35">
        <w:rPr>
          <w:rStyle w:val="Strong"/>
          <w:color w:val="262626"/>
        </w:rPr>
        <w:t>. </w:t>
      </w:r>
      <w:r w:rsidRPr="006C3C35">
        <w:rPr>
          <w:color w:val="262626"/>
        </w:rPr>
        <w:t xml:space="preserve">However, these figures may actually be an overestimate of active mental health professionals, as it may include providers who are no longer practicing or accepting new </w:t>
      </w:r>
      <w:r w:rsidR="00AC683C" w:rsidRPr="006C3C35">
        <w:rPr>
          <w:color w:val="262626"/>
        </w:rPr>
        <w:t>patients.</w:t>
      </w:r>
    </w:p>
    <w:p w14:paraId="6D42B9BA" w14:textId="561D4D2F" w:rsidR="0044303C" w:rsidRPr="00632820" w:rsidRDefault="00632820" w:rsidP="00632820">
      <w:pPr>
        <w:numPr>
          <w:ilvl w:val="0"/>
          <w:numId w:val="4"/>
        </w:numPr>
        <w:shd w:val="clear" w:color="auto" w:fill="FFFFFF"/>
        <w:spacing w:after="225"/>
      </w:pPr>
      <w:r w:rsidRPr="00632820">
        <w:rPr>
          <w:spacing w:val="-5"/>
          <w:shd w:val="clear" w:color="auto" w:fill="FFFFFF"/>
        </w:rPr>
        <w:t xml:space="preserve">Over the past five years, </w:t>
      </w:r>
      <w:r w:rsidRPr="00632820">
        <w:rPr>
          <w:b/>
          <w:bCs/>
          <w:spacing w:val="-5"/>
          <w:shd w:val="clear" w:color="auto" w:fill="FFFFFF"/>
        </w:rPr>
        <w:t>suicide has been the second-leading cause of death for people ages 15-19</w:t>
      </w:r>
      <w:r>
        <w:rPr>
          <w:spacing w:val="-5"/>
          <w:shd w:val="clear" w:color="auto" w:fill="FFFFFF"/>
        </w:rPr>
        <w:t xml:space="preserve"> (10-12 deaths by suicide per 100,000)</w:t>
      </w:r>
      <w:r w:rsidRPr="00632820">
        <w:rPr>
          <w:spacing w:val="-5"/>
          <w:shd w:val="clear" w:color="auto" w:fill="FFFFFF"/>
        </w:rPr>
        <w:t xml:space="preserve"> in the United States—second only to accidents. </w:t>
      </w:r>
      <w:r>
        <w:rPr>
          <w:spacing w:val="-5"/>
          <w:shd w:val="clear" w:color="auto" w:fill="FFFFFF"/>
        </w:rPr>
        <w:t xml:space="preserve"> </w:t>
      </w:r>
      <w:r w:rsidR="0044303C" w:rsidRPr="00632820">
        <w:t>More teenagers and young adults die from suicide than from cancer, heart disease, AIDS, birth defects, stroke, pneumonia, influenza</w:t>
      </w:r>
      <w:r>
        <w:t>, COVID,</w:t>
      </w:r>
      <w:r w:rsidR="0044303C" w:rsidRPr="00632820">
        <w:t xml:space="preserve"> and chronic lung disease </w:t>
      </w:r>
      <w:r w:rsidR="0044303C" w:rsidRPr="00632820">
        <w:rPr>
          <w:i/>
          <w:iCs/>
        </w:rPr>
        <w:t>combined</w:t>
      </w:r>
      <w:r w:rsidR="0044303C" w:rsidRPr="00632820">
        <w:t>.</w:t>
      </w:r>
      <w:r w:rsidR="0044303C" w:rsidRPr="00632820">
        <w:rPr>
          <w:vertAlign w:val="superscript"/>
        </w:rPr>
        <w:t xml:space="preserve">   </w:t>
      </w:r>
      <w:r w:rsidR="0044303C" w:rsidRPr="00632820">
        <w:t>Over 90 percent of children and adolescents who commit suicide have a mental disorder.</w:t>
      </w:r>
      <w:r>
        <w:t xml:space="preserve">  </w:t>
      </w:r>
      <w:r w:rsidRPr="00632820">
        <w:rPr>
          <w:spacing w:val="-5"/>
          <w:shd w:val="clear" w:color="auto" w:fill="FFFFFF"/>
        </w:rPr>
        <w:t xml:space="preserve">It might seem convenient or tempting to blame youth suicides on one headlining perpetrator—social media, the COVID-19 pandemic, bullying, or substance abuse, for instance—but the reality is much more complicated. It involves location, race, and socioeconomic status, among other compounding factors. </w:t>
      </w:r>
      <w:r>
        <w:rPr>
          <w:spacing w:val="-5"/>
          <w:shd w:val="clear" w:color="auto" w:fill="FFFFFF"/>
        </w:rPr>
        <w:t xml:space="preserve"> </w:t>
      </w:r>
    </w:p>
    <w:p w14:paraId="24E4BFF6" w14:textId="6974F126" w:rsidR="00632820" w:rsidRPr="00BD37A1" w:rsidRDefault="00632820" w:rsidP="00632820">
      <w:pPr>
        <w:numPr>
          <w:ilvl w:val="0"/>
          <w:numId w:val="4"/>
        </w:numPr>
        <w:shd w:val="clear" w:color="auto" w:fill="FFFFFF"/>
        <w:spacing w:after="225"/>
      </w:pPr>
      <w:r w:rsidRPr="00632820">
        <w:rPr>
          <w:spacing w:val="-5"/>
          <w:shd w:val="clear" w:color="auto" w:fill="FFFFFF"/>
        </w:rPr>
        <w:t>Certain groups are more at-risk than their peers. A survey from the Trevor Project in 2022 found that 45% of all LGBTQIA+ youth </w:t>
      </w:r>
      <w:hyperlink r:id="rId5" w:history="1">
        <w:r w:rsidRPr="00632820">
          <w:rPr>
            <w:rStyle w:val="Hyperlink"/>
            <w:color w:val="auto"/>
            <w:spacing w:val="-5"/>
            <w:shd w:val="clear" w:color="auto" w:fill="FFFFFF"/>
          </w:rPr>
          <w:t>seriously considered suicide</w:t>
        </w:r>
      </w:hyperlink>
      <w:r w:rsidRPr="00632820">
        <w:rPr>
          <w:spacing w:val="-5"/>
          <w:shd w:val="clear" w:color="auto" w:fill="FFFFFF"/>
        </w:rPr>
        <w:t xml:space="preserve"> within the past year. Suicides amongst Black youth have also increased, </w:t>
      </w:r>
      <w:r w:rsidR="00BD37A1">
        <w:rPr>
          <w:spacing w:val="-5"/>
          <w:shd w:val="clear" w:color="auto" w:fill="FFFFFF"/>
        </w:rPr>
        <w:t>in part</w:t>
      </w:r>
      <w:r w:rsidRPr="00632820">
        <w:rPr>
          <w:spacing w:val="-5"/>
          <w:shd w:val="clear" w:color="auto" w:fill="FFFFFF"/>
        </w:rPr>
        <w:t xml:space="preserve"> due to increased </w:t>
      </w:r>
      <w:hyperlink r:id="rId6" w:history="1">
        <w:r w:rsidRPr="00632820">
          <w:rPr>
            <w:rStyle w:val="Hyperlink"/>
            <w:color w:val="auto"/>
            <w:spacing w:val="-5"/>
            <w:shd w:val="clear" w:color="auto" w:fill="FFFFFF"/>
          </w:rPr>
          <w:t>racial discrimination and trauma</w:t>
        </w:r>
      </w:hyperlink>
      <w:r w:rsidRPr="00632820">
        <w:rPr>
          <w:spacing w:val="-5"/>
          <w:shd w:val="clear" w:color="auto" w:fill="FFFFFF"/>
        </w:rPr>
        <w:t> radiating from incidents of public police brutality against Trayvon Martin, George Floyd, Breonna Taylor, Michael Brown, and many others.</w:t>
      </w:r>
    </w:p>
    <w:p w14:paraId="755612AA" w14:textId="407D5CBD" w:rsidR="00BD37A1" w:rsidRPr="00BD37A1" w:rsidRDefault="00BD37A1" w:rsidP="00BD37A1">
      <w:pPr>
        <w:pStyle w:val="NormalWeb"/>
        <w:numPr>
          <w:ilvl w:val="0"/>
          <w:numId w:val="4"/>
        </w:numPr>
        <w:shd w:val="clear" w:color="auto" w:fill="FFFFFF"/>
        <w:spacing w:before="0" w:beforeAutospacing="0"/>
        <w:rPr>
          <w:szCs w:val="27"/>
        </w:rPr>
      </w:pPr>
      <w:r w:rsidRPr="00BD37A1">
        <w:rPr>
          <w:szCs w:val="27"/>
        </w:rPr>
        <w:t>The five highest-ranking states for teenage suicide, according to the latest CDC data, are Colorado (21.2 deaths per 100,000 youths), New Mexico (21.9), Montana (30.3), South Dakota (33.6), and finally Alaska, topping all 50 states with 39.8 deaths per 100,000 youths. One underlying cause of the relatively high rate of suicide in the mountain states is the region's </w:t>
      </w:r>
      <w:hyperlink r:id="rId7" w:history="1">
        <w:r w:rsidRPr="00BD37A1">
          <w:rPr>
            <w:rStyle w:val="Hyperlink"/>
            <w:color w:val="auto"/>
            <w:szCs w:val="27"/>
          </w:rPr>
          <w:t>concentration of rural and often isolated communities</w:t>
        </w:r>
      </w:hyperlink>
      <w:r w:rsidRPr="00BD37A1">
        <w:rPr>
          <w:szCs w:val="27"/>
        </w:rPr>
        <w:t>.</w:t>
      </w:r>
      <w:r>
        <w:rPr>
          <w:szCs w:val="27"/>
        </w:rPr>
        <w:t xml:space="preserve">  </w:t>
      </w:r>
      <w:r w:rsidRPr="00BD37A1">
        <w:rPr>
          <w:szCs w:val="27"/>
        </w:rPr>
        <w:t xml:space="preserve">From 2015 to 2019, urban suburbs and big cities had the lowest youth suicide rates. The community types with the most youth suicides tended to be more geographically scattered, relatively isolated groups, such as Native Americans, members of the Church of Jesus Christ of </w:t>
      </w:r>
      <w:proofErr w:type="gramStart"/>
      <w:r w:rsidRPr="00BD37A1">
        <w:rPr>
          <w:szCs w:val="27"/>
        </w:rPr>
        <w:t>Latter Day</w:t>
      </w:r>
      <w:proofErr w:type="gramEnd"/>
      <w:r w:rsidRPr="00BD37A1">
        <w:rPr>
          <w:szCs w:val="27"/>
        </w:rPr>
        <w:t xml:space="preserve"> Saints, strongholds of evangelical Christian practice, and farmlands in the Great Plains.</w:t>
      </w:r>
    </w:p>
    <w:p w14:paraId="3F9B199C" w14:textId="42661503" w:rsidR="00AC683C" w:rsidRPr="00AC683C" w:rsidRDefault="0044303C" w:rsidP="00BD37A1">
      <w:pPr>
        <w:spacing w:before="100" w:beforeAutospacing="1" w:after="100" w:afterAutospacing="1"/>
        <w:rPr>
          <w:b/>
          <w:sz w:val="28"/>
          <w:szCs w:val="28"/>
        </w:rPr>
      </w:pPr>
      <w:r w:rsidRPr="00AC683C">
        <w:rPr>
          <w:b/>
          <w:sz w:val="28"/>
          <w:szCs w:val="28"/>
        </w:rPr>
        <w:t>Childhood Poverty Statistics in America</w:t>
      </w:r>
      <w:r w:rsidR="00BD37A1" w:rsidRPr="00AC683C">
        <w:rPr>
          <w:b/>
          <w:sz w:val="28"/>
          <w:szCs w:val="28"/>
        </w:rPr>
        <w:t xml:space="preserve"> (Children’s Defense Fund 2023)</w:t>
      </w:r>
      <w:r w:rsidR="00AC683C" w:rsidRPr="00AC683C">
        <w:rPr>
          <w:b/>
          <w:sz w:val="28"/>
          <w:szCs w:val="28"/>
        </w:rPr>
        <w:t>:</w:t>
      </w:r>
    </w:p>
    <w:p w14:paraId="5044CEC3" w14:textId="77777777" w:rsidR="00AC683C" w:rsidRPr="00AC683C" w:rsidRDefault="00AC683C" w:rsidP="00AC683C">
      <w:pPr>
        <w:numPr>
          <w:ilvl w:val="0"/>
          <w:numId w:val="5"/>
        </w:numPr>
        <w:shd w:val="clear" w:color="auto" w:fill="FFFFFF"/>
        <w:spacing w:before="100" w:beforeAutospacing="1" w:after="100" w:afterAutospacing="1"/>
      </w:pPr>
      <w:r w:rsidRPr="00AC683C">
        <w:rPr>
          <w:shd w:val="clear" w:color="auto" w:fill="FFFFFF"/>
        </w:rPr>
        <w:t>Children remain the poorest age group in America, with children of color, children under five, children of single mothers, and children in the South suffering from the highest poverty rates. Two years since the onset of the COVID-19 pandemic, child poverty remains a paralyzing problem that both causes and exacerbates significant disturbances in the lives of all children in our country. Although the number of children living in poverty has fallen from 11.6 million to 11.1 million between 2020 and 2021 In the final tally, the pandemic managed to push more than one million children over the threshold into poverty.</w:t>
      </w:r>
    </w:p>
    <w:p w14:paraId="0E049A6C" w14:textId="6EFBE31D" w:rsidR="00AC683C" w:rsidRDefault="00BD37A1" w:rsidP="00AC683C">
      <w:pPr>
        <w:numPr>
          <w:ilvl w:val="0"/>
          <w:numId w:val="5"/>
        </w:numPr>
        <w:shd w:val="clear" w:color="auto" w:fill="FFFFFF"/>
        <w:spacing w:before="100" w:beforeAutospacing="1" w:after="100" w:afterAutospacing="1"/>
      </w:pPr>
      <w:r w:rsidRPr="00BD37A1">
        <w:t>Among the 74 million children living in the United States, 11 million live in poverty.</w:t>
      </w:r>
    </w:p>
    <w:p w14:paraId="7D8C6A67" w14:textId="77777777" w:rsidR="00AC683C" w:rsidRDefault="00BD37A1" w:rsidP="00AC683C">
      <w:pPr>
        <w:numPr>
          <w:ilvl w:val="0"/>
          <w:numId w:val="5"/>
        </w:numPr>
        <w:shd w:val="clear" w:color="auto" w:fill="FFFFFF"/>
        <w:spacing w:before="100" w:beforeAutospacing="1" w:after="100" w:afterAutospacing="1"/>
      </w:pPr>
      <w:r w:rsidRPr="00BD37A1">
        <w:t>One in six children under 5 (3 million children) were poor, the highest rate of any age group.</w:t>
      </w:r>
    </w:p>
    <w:p w14:paraId="051F13C9" w14:textId="77777777" w:rsidR="00AC683C" w:rsidRDefault="00BD37A1" w:rsidP="00AC683C">
      <w:pPr>
        <w:numPr>
          <w:ilvl w:val="0"/>
          <w:numId w:val="5"/>
        </w:numPr>
        <w:shd w:val="clear" w:color="auto" w:fill="FFFFFF"/>
        <w:spacing w:before="100" w:beforeAutospacing="1" w:after="100" w:afterAutospacing="1"/>
      </w:pPr>
      <w:r w:rsidRPr="00BD37A1">
        <w:lastRenderedPageBreak/>
        <w:t>The pandemic forced children already in poverty even deeper into poverty. Almost half (47%) of all children living in poverty live in severe or</w:t>
      </w:r>
      <w:r w:rsidRPr="00BD37A1">
        <w:rPr>
          <w:rStyle w:val="Strong"/>
        </w:rPr>
        <w:t> extreme</w:t>
      </w:r>
      <w:r w:rsidRPr="00BD37A1">
        <w:t> poverty, a number which rose from 4.5 million before the pandemic to 5.5 million in 2021.</w:t>
      </w:r>
    </w:p>
    <w:p w14:paraId="5E11A5F4" w14:textId="77777777" w:rsidR="00AC683C" w:rsidRDefault="00BD37A1" w:rsidP="00AC683C">
      <w:pPr>
        <w:numPr>
          <w:ilvl w:val="0"/>
          <w:numId w:val="5"/>
        </w:numPr>
        <w:shd w:val="clear" w:color="auto" w:fill="FFFFFF"/>
        <w:spacing w:before="100" w:beforeAutospacing="1" w:after="100" w:afterAutospacing="1"/>
      </w:pPr>
      <w:r w:rsidRPr="00BD37A1">
        <w:t>The South, home to 47% of children in our country who live in poverty, experiences the highest child poverty rates with 1 in 5 children living in poverty.</w:t>
      </w:r>
    </w:p>
    <w:p w14:paraId="1DD7E6B2" w14:textId="77777777" w:rsidR="00AC683C" w:rsidRDefault="00BD37A1" w:rsidP="00AC683C">
      <w:pPr>
        <w:numPr>
          <w:ilvl w:val="0"/>
          <w:numId w:val="5"/>
        </w:numPr>
        <w:shd w:val="clear" w:color="auto" w:fill="FFFFFF"/>
        <w:spacing w:before="100" w:beforeAutospacing="1" w:after="100" w:afterAutospacing="1"/>
      </w:pPr>
      <w:r w:rsidRPr="00BD37A1">
        <w:t>9 million children faced hunger and food insecurity.</w:t>
      </w:r>
    </w:p>
    <w:p w14:paraId="6D13D81C" w14:textId="76CC7CAD" w:rsidR="00BD37A1" w:rsidRDefault="00BD37A1" w:rsidP="00AC683C">
      <w:pPr>
        <w:numPr>
          <w:ilvl w:val="0"/>
          <w:numId w:val="5"/>
        </w:numPr>
        <w:shd w:val="clear" w:color="auto" w:fill="FFFFFF"/>
        <w:spacing w:before="100" w:beforeAutospacing="1" w:after="100" w:afterAutospacing="1"/>
      </w:pPr>
      <w:r w:rsidRPr="00BD37A1">
        <w:t>4 million children lived without health insurance.</w:t>
      </w:r>
    </w:p>
    <w:p w14:paraId="6A43D0E3" w14:textId="408B7DCE" w:rsidR="00AC683C" w:rsidRPr="00AC683C" w:rsidRDefault="00AC683C" w:rsidP="00AC683C">
      <w:pPr>
        <w:numPr>
          <w:ilvl w:val="0"/>
          <w:numId w:val="5"/>
        </w:numPr>
        <w:shd w:val="clear" w:color="auto" w:fill="FFFFFF"/>
        <w:spacing w:before="100" w:beforeAutospacing="1" w:after="100" w:afterAutospacing="1"/>
      </w:pPr>
      <w:r w:rsidRPr="00AC683C">
        <w:rPr>
          <w:shd w:val="clear" w:color="auto" w:fill="FFFFFF"/>
        </w:rPr>
        <w:t>The pandemic has been instrumental in highlighting how inadequately our American economic system serves and supports children and families. Income and wealth inequalities continue to cause exhaustive harm to children in low-income households, in which families of color remain dramatically overrepresented. In 2021, the median family income of White households with children ($102,700) was roughly double that of Black ($46,600), Hispanic ($57,800), and American Indian/Alaska Native ($53,900) families with children. Since 2005, Black families have consistently earned the lowest incomes and only half as much as other racial/ethnic groups between 2019 and 2021.</w:t>
      </w:r>
    </w:p>
    <w:p w14:paraId="66D9D07C" w14:textId="7D83C1B9" w:rsidR="00BD37A1" w:rsidRPr="0044303C" w:rsidRDefault="00AC683C" w:rsidP="00AC683C">
      <w:pPr>
        <w:spacing w:before="100" w:beforeAutospacing="1" w:after="100" w:afterAutospacing="1"/>
        <w:ind w:left="3600"/>
        <w:rPr>
          <w:b/>
        </w:rPr>
      </w:pPr>
      <w:r>
        <w:rPr>
          <w:b/>
        </w:rPr>
        <w:t>----------------------------------------</w:t>
      </w:r>
    </w:p>
    <w:p w14:paraId="7CA145F0" w14:textId="77777777" w:rsidR="0044303C" w:rsidRPr="00DC5146" w:rsidRDefault="0044303C" w:rsidP="00AC683C">
      <w:pPr>
        <w:shd w:val="clear" w:color="auto" w:fill="FFFFFF"/>
        <w:spacing w:before="100" w:beforeAutospacing="1" w:after="225"/>
        <w:rPr>
          <w:color w:val="3C3C3C"/>
        </w:rPr>
      </w:pPr>
      <w:r w:rsidRPr="00DC5146">
        <w:rPr>
          <w:b/>
          <w:bCs/>
        </w:rPr>
        <w:t>The primacy of a developmental model in clinical work with children, its implications for treatment planning, and some of the differences between working with children, adolescents, and adults.</w:t>
      </w:r>
    </w:p>
    <w:p w14:paraId="5204F266" w14:textId="77777777" w:rsidR="0044303C" w:rsidRPr="0044303C" w:rsidRDefault="0044303C" w:rsidP="00AC683C">
      <w:pPr>
        <w:pStyle w:val="BodyText"/>
        <w:ind w:left="720"/>
        <w:rPr>
          <w:b w:val="0"/>
          <w:bCs w:val="0"/>
        </w:rPr>
      </w:pPr>
      <w:r w:rsidRPr="0044303C">
        <w:rPr>
          <w:b w:val="0"/>
          <w:bCs w:val="0"/>
        </w:rPr>
        <w:t xml:space="preserve">Some thoughts around the training of child and adolescent clinicians.  The essential knowledge base of clinical social work with youth.  Theoretical paradigms, and the question of eclectic practice.  </w:t>
      </w:r>
    </w:p>
    <w:p w14:paraId="22D40BFF" w14:textId="77777777" w:rsidR="0044303C" w:rsidRDefault="0044303C" w:rsidP="0044303C">
      <w:pPr>
        <w:pStyle w:val="BodyText"/>
        <w:ind w:left="2160"/>
        <w:rPr>
          <w:bCs w:val="0"/>
        </w:rPr>
      </w:pPr>
    </w:p>
    <w:p w14:paraId="3BDD006A" w14:textId="77777777" w:rsidR="0044303C" w:rsidRPr="0044303C" w:rsidRDefault="0044303C" w:rsidP="00AC683C">
      <w:pPr>
        <w:pStyle w:val="BodyText"/>
        <w:ind w:left="720"/>
        <w:rPr>
          <w:bCs w:val="0"/>
        </w:rPr>
      </w:pPr>
      <w:r w:rsidRPr="0044303C">
        <w:rPr>
          <w:bCs w:val="0"/>
        </w:rPr>
        <w:t xml:space="preserve">-different theoretical models: the big three, and how this affects what we see.  What you believe will affect what you look for.  </w:t>
      </w:r>
    </w:p>
    <w:p w14:paraId="2865C6FD" w14:textId="77777777" w:rsidR="0044303C" w:rsidRPr="0044303C" w:rsidRDefault="0044303C" w:rsidP="0044303C">
      <w:pPr>
        <w:pStyle w:val="BodyText"/>
        <w:ind w:left="2160"/>
        <w:rPr>
          <w:b w:val="0"/>
          <w:bCs w:val="0"/>
        </w:rPr>
      </w:pPr>
      <w:r w:rsidRPr="0044303C">
        <w:rPr>
          <w:b w:val="0"/>
          <w:bCs w:val="0"/>
        </w:rPr>
        <w:t>-post-modernist theory and constructivism</w:t>
      </w:r>
    </w:p>
    <w:p w14:paraId="638FA1A3" w14:textId="77777777" w:rsidR="0044303C" w:rsidRPr="0044303C" w:rsidRDefault="0044303C" w:rsidP="0044303C">
      <w:pPr>
        <w:pStyle w:val="BodyText"/>
        <w:ind w:left="2160"/>
        <w:rPr>
          <w:b w:val="0"/>
          <w:bCs w:val="0"/>
        </w:rPr>
      </w:pPr>
      <w:r w:rsidRPr="0044303C">
        <w:rPr>
          <w:b w:val="0"/>
          <w:bCs w:val="0"/>
        </w:rPr>
        <w:t>-generalist vs. specialist; a strong theoretical perspective vs. eclecticism</w:t>
      </w:r>
    </w:p>
    <w:p w14:paraId="1838E03B" w14:textId="77777777" w:rsidR="0044303C" w:rsidRPr="0044303C" w:rsidRDefault="0044303C" w:rsidP="0044303C">
      <w:pPr>
        <w:pStyle w:val="BodyText"/>
        <w:ind w:left="2160"/>
        <w:rPr>
          <w:b w:val="0"/>
          <w:bCs w:val="0"/>
        </w:rPr>
      </w:pPr>
      <w:r w:rsidRPr="0044303C">
        <w:rPr>
          <w:b w:val="0"/>
          <w:bCs w:val="0"/>
        </w:rPr>
        <w:t>-movement towards and more scientific model that takes into account what works for whom given problem presentation and their ecology</w:t>
      </w:r>
    </w:p>
    <w:p w14:paraId="58FEEE21" w14:textId="77777777" w:rsidR="0064578B" w:rsidRDefault="0044303C" w:rsidP="00CB2125">
      <w:pPr>
        <w:pStyle w:val="BodyText"/>
        <w:ind w:left="2160"/>
      </w:pPr>
      <w:r w:rsidRPr="0044303C">
        <w:rPr>
          <w:b w:val="0"/>
          <w:bCs w:val="0"/>
        </w:rPr>
        <w:t>-effectiveness studies with therapy for children and adolescents.  76% vs   80% with adults</w:t>
      </w:r>
      <w:r w:rsidRPr="0044303C">
        <w:t>.</w:t>
      </w:r>
    </w:p>
    <w:p w14:paraId="470258C1" w14:textId="77777777" w:rsidR="00365991" w:rsidRDefault="00365991" w:rsidP="00CB2125">
      <w:pPr>
        <w:pStyle w:val="BodyText"/>
        <w:ind w:left="2160"/>
      </w:pPr>
    </w:p>
    <w:p w14:paraId="4013CC1D" w14:textId="77777777" w:rsidR="00365991" w:rsidRDefault="00365991" w:rsidP="00AC683C">
      <w:pPr>
        <w:pStyle w:val="BodyText"/>
        <w:ind w:firstLine="720"/>
      </w:pPr>
      <w:r>
        <w:t>History of CSW with Youth-</w:t>
      </w:r>
    </w:p>
    <w:p w14:paraId="528A52DE" w14:textId="77777777" w:rsidR="00365991" w:rsidRDefault="00365991" w:rsidP="00CB2125">
      <w:pPr>
        <w:pStyle w:val="BodyText"/>
        <w:ind w:left="2160"/>
        <w:rPr>
          <w:b w:val="0"/>
        </w:rPr>
      </w:pPr>
      <w:r>
        <w:rPr>
          <w:b w:val="0"/>
        </w:rPr>
        <w:t>-early work with children in families and through the court systems, as well as advocacy.  Settlement Houses.</w:t>
      </w:r>
    </w:p>
    <w:p w14:paraId="1F9A02CA" w14:textId="77777777" w:rsidR="00365991" w:rsidRDefault="00365991" w:rsidP="00CB2125">
      <w:pPr>
        <w:pStyle w:val="BodyText"/>
        <w:ind w:left="2160"/>
        <w:rPr>
          <w:b w:val="0"/>
        </w:rPr>
      </w:pPr>
      <w:r>
        <w:rPr>
          <w:b w:val="0"/>
        </w:rPr>
        <w:t>-Mary Richmond’s diagnosis of social factors</w:t>
      </w:r>
    </w:p>
    <w:p w14:paraId="7269C7B0" w14:textId="77777777" w:rsidR="00365991" w:rsidRDefault="00365991" w:rsidP="00CB2125">
      <w:pPr>
        <w:pStyle w:val="BodyText"/>
        <w:ind w:left="2160"/>
        <w:rPr>
          <w:b w:val="0"/>
        </w:rPr>
      </w:pPr>
      <w:r>
        <w:rPr>
          <w:b w:val="0"/>
        </w:rPr>
        <w:t>-Child Guidance movement in association with the prevalence of psychoanalytic theories in CSW education</w:t>
      </w:r>
    </w:p>
    <w:p w14:paraId="5F1E8FA4" w14:textId="77777777" w:rsidR="00365991" w:rsidRDefault="00365991" w:rsidP="00CB2125">
      <w:pPr>
        <w:pStyle w:val="BodyText"/>
        <w:ind w:left="2160"/>
        <w:rPr>
          <w:b w:val="0"/>
        </w:rPr>
      </w:pPr>
      <w:r>
        <w:rPr>
          <w:b w:val="0"/>
        </w:rPr>
        <w:t>-rise of Child Welfare System post- WW II</w:t>
      </w:r>
    </w:p>
    <w:p w14:paraId="32796537" w14:textId="77777777" w:rsidR="00365991" w:rsidRDefault="00365991" w:rsidP="00CB2125">
      <w:pPr>
        <w:pStyle w:val="BodyText"/>
        <w:ind w:left="2160"/>
        <w:rPr>
          <w:b w:val="0"/>
        </w:rPr>
      </w:pPr>
      <w:r>
        <w:rPr>
          <w:b w:val="0"/>
        </w:rPr>
        <w:t xml:space="preserve">-influence of Family Therapy </w:t>
      </w:r>
    </w:p>
    <w:p w14:paraId="762CB243" w14:textId="77777777" w:rsidR="00365991" w:rsidRDefault="00365991" w:rsidP="00CB2125">
      <w:pPr>
        <w:pStyle w:val="BodyText"/>
        <w:ind w:left="2160"/>
        <w:rPr>
          <w:b w:val="0"/>
        </w:rPr>
      </w:pPr>
      <w:r>
        <w:rPr>
          <w:b w:val="0"/>
        </w:rPr>
        <w:t>-movement towards a more integrated approach</w:t>
      </w:r>
    </w:p>
    <w:p w14:paraId="2BBFB8E4" w14:textId="77777777" w:rsidR="00DC5146" w:rsidRPr="00365991" w:rsidRDefault="00DC5146" w:rsidP="00CB2125">
      <w:pPr>
        <w:pStyle w:val="BodyText"/>
        <w:ind w:left="2160"/>
        <w:rPr>
          <w:b w:val="0"/>
        </w:rPr>
      </w:pPr>
      <w:r>
        <w:rPr>
          <w:b w:val="0"/>
        </w:rPr>
        <w:t>-evidenced based practice.</w:t>
      </w:r>
    </w:p>
    <w:p w14:paraId="15BA5AF3" w14:textId="77777777" w:rsidR="00AC683C" w:rsidRDefault="00AC683C" w:rsidP="00AC683C">
      <w:pPr>
        <w:pStyle w:val="BodyText"/>
      </w:pPr>
    </w:p>
    <w:p w14:paraId="13310CD6" w14:textId="77777777" w:rsidR="00AC683C" w:rsidRDefault="00AC683C" w:rsidP="00AC683C">
      <w:pPr>
        <w:pStyle w:val="BodyText"/>
      </w:pPr>
    </w:p>
    <w:p w14:paraId="7524C2BD" w14:textId="293FE496" w:rsidR="00CB2125" w:rsidRDefault="00CB2125" w:rsidP="00AC683C">
      <w:pPr>
        <w:pStyle w:val="BodyText"/>
        <w:ind w:firstLine="720"/>
      </w:pPr>
      <w:r>
        <w:lastRenderedPageBreak/>
        <w:t>Cutting Edge Issues:</w:t>
      </w:r>
    </w:p>
    <w:p w14:paraId="1E4FCA8B" w14:textId="77777777" w:rsidR="00CB2125" w:rsidRDefault="00CB2125" w:rsidP="00CB2125">
      <w:pPr>
        <w:pStyle w:val="BodyText"/>
        <w:numPr>
          <w:ilvl w:val="0"/>
          <w:numId w:val="2"/>
        </w:numPr>
        <w:rPr>
          <w:b w:val="0"/>
        </w:rPr>
      </w:pPr>
      <w:r>
        <w:rPr>
          <w:b w:val="0"/>
        </w:rPr>
        <w:t xml:space="preserve"> The impact on children of deteriorating social conditions- violence, poverty, but now also the aftermath of the pandemic and the impact of global warming</w:t>
      </w:r>
    </w:p>
    <w:p w14:paraId="7619EFF7" w14:textId="77777777" w:rsidR="00CD6123" w:rsidRPr="00CD6123" w:rsidRDefault="00CD6123" w:rsidP="00CD6123">
      <w:pPr>
        <w:pStyle w:val="BodyText"/>
        <w:numPr>
          <w:ilvl w:val="0"/>
          <w:numId w:val="2"/>
        </w:numPr>
        <w:rPr>
          <w:b w:val="0"/>
        </w:rPr>
      </w:pPr>
      <w:r>
        <w:rPr>
          <w:b w:val="0"/>
        </w:rPr>
        <w:t>Viewing development through an attachment lens.</w:t>
      </w:r>
    </w:p>
    <w:p w14:paraId="5C17BCC8" w14:textId="77777777" w:rsidR="00CB2125" w:rsidRDefault="00CB2125" w:rsidP="00CB2125">
      <w:pPr>
        <w:pStyle w:val="BodyText"/>
        <w:numPr>
          <w:ilvl w:val="0"/>
          <w:numId w:val="2"/>
        </w:numPr>
        <w:rPr>
          <w:b w:val="0"/>
        </w:rPr>
      </w:pPr>
      <w:r>
        <w:rPr>
          <w:b w:val="0"/>
        </w:rPr>
        <w:t>Selecting intervention alternatives at multiple levels</w:t>
      </w:r>
      <w:r w:rsidR="00CD6123">
        <w:rPr>
          <w:b w:val="0"/>
        </w:rPr>
        <w:t>; understanding and utilizing evidence-based practice</w:t>
      </w:r>
    </w:p>
    <w:p w14:paraId="15B22DC9" w14:textId="77777777" w:rsidR="00CB2125" w:rsidRDefault="00CB2125" w:rsidP="00CB2125">
      <w:pPr>
        <w:pStyle w:val="BodyText"/>
        <w:numPr>
          <w:ilvl w:val="0"/>
          <w:numId w:val="2"/>
        </w:numPr>
        <w:rPr>
          <w:b w:val="0"/>
        </w:rPr>
      </w:pPr>
      <w:r>
        <w:rPr>
          <w:b w:val="0"/>
        </w:rPr>
        <w:t xml:space="preserve">Working with severely </w:t>
      </w:r>
      <w:r w:rsidR="00CD6123">
        <w:rPr>
          <w:b w:val="0"/>
        </w:rPr>
        <w:t>traumatized children- trauma-informed practice</w:t>
      </w:r>
    </w:p>
    <w:p w14:paraId="6F93256C" w14:textId="77777777" w:rsidR="00CD6123" w:rsidRDefault="00CD6123" w:rsidP="00CB2125">
      <w:pPr>
        <w:pStyle w:val="BodyText"/>
        <w:numPr>
          <w:ilvl w:val="0"/>
          <w:numId w:val="2"/>
        </w:numPr>
        <w:rPr>
          <w:b w:val="0"/>
        </w:rPr>
      </w:pPr>
      <w:r>
        <w:rPr>
          <w:b w:val="0"/>
        </w:rPr>
        <w:t>Recognizing and embracing changing views about gender, gender identity, and how this may affect children’s and families beliefs and their experiences</w:t>
      </w:r>
    </w:p>
    <w:p w14:paraId="7B0FA348" w14:textId="77777777" w:rsidR="00CD6123" w:rsidRDefault="00CD6123" w:rsidP="00CB2125">
      <w:pPr>
        <w:pStyle w:val="BodyText"/>
        <w:numPr>
          <w:ilvl w:val="0"/>
          <w:numId w:val="2"/>
        </w:numPr>
        <w:rPr>
          <w:b w:val="0"/>
        </w:rPr>
      </w:pPr>
      <w:r>
        <w:rPr>
          <w:b w:val="0"/>
        </w:rPr>
        <w:t>Engaging in discourse around diversity, equity, and inclusion as part of the therapeutic process, with an understanding of intersectionality</w:t>
      </w:r>
      <w:r w:rsidR="00B24951">
        <w:rPr>
          <w:b w:val="0"/>
        </w:rPr>
        <w:t>.</w:t>
      </w:r>
    </w:p>
    <w:p w14:paraId="21F7F586" w14:textId="77777777" w:rsidR="00CD6123" w:rsidRDefault="00CD6123" w:rsidP="00CB2125">
      <w:pPr>
        <w:pStyle w:val="BodyText"/>
        <w:numPr>
          <w:ilvl w:val="0"/>
          <w:numId w:val="2"/>
        </w:numPr>
        <w:rPr>
          <w:b w:val="0"/>
        </w:rPr>
      </w:pPr>
      <w:r>
        <w:rPr>
          <w:b w:val="0"/>
        </w:rPr>
        <w:t>Understanding dimensions of neuro-diversity.</w:t>
      </w:r>
    </w:p>
    <w:p w14:paraId="4092CC9A" w14:textId="77777777" w:rsidR="00CD6123" w:rsidRDefault="00CD6123" w:rsidP="00CB2125">
      <w:pPr>
        <w:pStyle w:val="BodyText"/>
        <w:numPr>
          <w:ilvl w:val="0"/>
          <w:numId w:val="2"/>
        </w:numPr>
        <w:rPr>
          <w:b w:val="0"/>
        </w:rPr>
      </w:pPr>
      <w:r>
        <w:rPr>
          <w:b w:val="0"/>
        </w:rPr>
        <w:t>Working with youth around the ubiquitous presence of online engagement, social media, and balance in their lives.</w:t>
      </w:r>
    </w:p>
    <w:p w14:paraId="5AC00F41" w14:textId="2169B608" w:rsidR="00CD6123" w:rsidRPr="00B24951" w:rsidRDefault="00CD6123" w:rsidP="00B24951">
      <w:pPr>
        <w:pStyle w:val="BodyText"/>
        <w:numPr>
          <w:ilvl w:val="0"/>
          <w:numId w:val="2"/>
        </w:numPr>
        <w:rPr>
          <w:b w:val="0"/>
        </w:rPr>
      </w:pPr>
      <w:r>
        <w:rPr>
          <w:b w:val="0"/>
        </w:rPr>
        <w:t xml:space="preserve">Preparing for clinical work with very divergent </w:t>
      </w:r>
      <w:r w:rsidR="00AC683C">
        <w:rPr>
          <w:b w:val="0"/>
        </w:rPr>
        <w:t>viewpoints</w:t>
      </w:r>
      <w:r>
        <w:rPr>
          <w:b w:val="0"/>
        </w:rPr>
        <w:t xml:space="preserve"> </w:t>
      </w:r>
      <w:proofErr w:type="gramStart"/>
      <w:r>
        <w:rPr>
          <w:b w:val="0"/>
        </w:rPr>
        <w:t>in  increasingly</w:t>
      </w:r>
      <w:proofErr w:type="gramEnd"/>
      <w:r>
        <w:rPr>
          <w:b w:val="0"/>
        </w:rPr>
        <w:t xml:space="preserve"> polarized </w:t>
      </w:r>
      <w:r w:rsidR="00B24951">
        <w:rPr>
          <w:b w:val="0"/>
        </w:rPr>
        <w:t>communities.</w:t>
      </w:r>
    </w:p>
    <w:p w14:paraId="15160C41" w14:textId="77777777" w:rsidR="00CD6123" w:rsidRDefault="00B24951" w:rsidP="00CB2125">
      <w:pPr>
        <w:pStyle w:val="BodyText"/>
        <w:numPr>
          <w:ilvl w:val="0"/>
          <w:numId w:val="2"/>
        </w:numPr>
        <w:rPr>
          <w:b w:val="0"/>
        </w:rPr>
      </w:pPr>
      <w:r>
        <w:rPr>
          <w:b w:val="0"/>
        </w:rPr>
        <w:t>Utilizing various self-care strategies to avoid traumatization and burnout.</w:t>
      </w:r>
    </w:p>
    <w:sectPr w:rsidR="00CD6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3DBB"/>
    <w:multiLevelType w:val="multilevel"/>
    <w:tmpl w:val="C4B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8460C"/>
    <w:multiLevelType w:val="multilevel"/>
    <w:tmpl w:val="F7D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6B75"/>
    <w:multiLevelType w:val="multilevel"/>
    <w:tmpl w:val="571C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B32D9"/>
    <w:multiLevelType w:val="multilevel"/>
    <w:tmpl w:val="B3DA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424E0"/>
    <w:multiLevelType w:val="hybridMultilevel"/>
    <w:tmpl w:val="FB742E82"/>
    <w:lvl w:ilvl="0" w:tplc="0CB259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04508FF"/>
    <w:multiLevelType w:val="multilevel"/>
    <w:tmpl w:val="8BFEEFA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7A4029CA"/>
    <w:multiLevelType w:val="multilevel"/>
    <w:tmpl w:val="BCA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657059">
    <w:abstractNumId w:val="5"/>
  </w:num>
  <w:num w:numId="2" w16cid:durableId="414209784">
    <w:abstractNumId w:val="4"/>
  </w:num>
  <w:num w:numId="3" w16cid:durableId="549342008">
    <w:abstractNumId w:val="2"/>
  </w:num>
  <w:num w:numId="4" w16cid:durableId="1759591287">
    <w:abstractNumId w:val="3"/>
  </w:num>
  <w:num w:numId="5" w16cid:durableId="408306627">
    <w:abstractNumId w:val="1"/>
  </w:num>
  <w:num w:numId="6" w16cid:durableId="1084184129">
    <w:abstractNumId w:val="6"/>
  </w:num>
  <w:num w:numId="7" w16cid:durableId="94419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3C"/>
    <w:rsid w:val="00365991"/>
    <w:rsid w:val="0044303C"/>
    <w:rsid w:val="00632820"/>
    <w:rsid w:val="0064578B"/>
    <w:rsid w:val="006C3C35"/>
    <w:rsid w:val="00AC683C"/>
    <w:rsid w:val="00B24951"/>
    <w:rsid w:val="00BD37A1"/>
    <w:rsid w:val="00CB2125"/>
    <w:rsid w:val="00CD6123"/>
    <w:rsid w:val="00D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5355"/>
  <w15:chartTrackingRefBased/>
  <w15:docId w15:val="{DCACABD0-C681-47B2-9D2E-6CF6410C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303C"/>
    <w:rPr>
      <w:b/>
      <w:bCs/>
    </w:rPr>
  </w:style>
  <w:style w:type="character" w:customStyle="1" w:styleId="BodyTextChar">
    <w:name w:val="Body Text Char"/>
    <w:basedOn w:val="DefaultParagraphFont"/>
    <w:link w:val="BodyText"/>
    <w:rsid w:val="004430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303C"/>
    <w:pPr>
      <w:spacing w:before="100" w:beforeAutospacing="1" w:after="100" w:afterAutospacing="1"/>
    </w:pPr>
  </w:style>
  <w:style w:type="character" w:styleId="Strong">
    <w:name w:val="Strong"/>
    <w:basedOn w:val="DefaultParagraphFont"/>
    <w:uiPriority w:val="22"/>
    <w:qFormat/>
    <w:rsid w:val="006C3C35"/>
    <w:rPr>
      <w:b/>
      <w:bCs/>
    </w:rPr>
  </w:style>
  <w:style w:type="character" w:styleId="Hyperlink">
    <w:name w:val="Hyperlink"/>
    <w:basedOn w:val="DefaultParagraphFont"/>
    <w:uiPriority w:val="99"/>
    <w:semiHidden/>
    <w:unhideWhenUsed/>
    <w:rsid w:val="00632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86355">
      <w:bodyDiv w:val="1"/>
      <w:marLeft w:val="0"/>
      <w:marRight w:val="0"/>
      <w:marTop w:val="0"/>
      <w:marBottom w:val="0"/>
      <w:divBdr>
        <w:top w:val="none" w:sz="0" w:space="0" w:color="auto"/>
        <w:left w:val="none" w:sz="0" w:space="0" w:color="auto"/>
        <w:bottom w:val="none" w:sz="0" w:space="0" w:color="auto"/>
        <w:right w:val="none" w:sz="0" w:space="0" w:color="auto"/>
      </w:divBdr>
    </w:div>
    <w:div w:id="1105659742">
      <w:bodyDiv w:val="1"/>
      <w:marLeft w:val="0"/>
      <w:marRight w:val="0"/>
      <w:marTop w:val="0"/>
      <w:marBottom w:val="0"/>
      <w:divBdr>
        <w:top w:val="none" w:sz="0" w:space="0" w:color="auto"/>
        <w:left w:val="none" w:sz="0" w:space="0" w:color="auto"/>
        <w:bottom w:val="none" w:sz="0" w:space="0" w:color="auto"/>
        <w:right w:val="none" w:sz="0" w:space="0" w:color="auto"/>
      </w:divBdr>
    </w:div>
    <w:div w:id="1579291752">
      <w:bodyDiv w:val="1"/>
      <w:marLeft w:val="0"/>
      <w:marRight w:val="0"/>
      <w:marTop w:val="0"/>
      <w:marBottom w:val="0"/>
      <w:divBdr>
        <w:top w:val="none" w:sz="0" w:space="0" w:color="auto"/>
        <w:left w:val="none" w:sz="0" w:space="0" w:color="auto"/>
        <w:bottom w:val="none" w:sz="0" w:space="0" w:color="auto"/>
        <w:right w:val="none" w:sz="0" w:space="0" w:color="auto"/>
      </w:divBdr>
    </w:div>
    <w:div w:id="1741322076">
      <w:bodyDiv w:val="1"/>
      <w:marLeft w:val="0"/>
      <w:marRight w:val="0"/>
      <w:marTop w:val="0"/>
      <w:marBottom w:val="0"/>
      <w:divBdr>
        <w:top w:val="none" w:sz="0" w:space="0" w:color="auto"/>
        <w:left w:val="none" w:sz="0" w:space="0" w:color="auto"/>
        <w:bottom w:val="none" w:sz="0" w:space="0" w:color="auto"/>
        <w:right w:val="none" w:sz="0" w:space="0" w:color="auto"/>
      </w:divBdr>
    </w:div>
    <w:div w:id="1872763347">
      <w:bodyDiv w:val="1"/>
      <w:marLeft w:val="0"/>
      <w:marRight w:val="0"/>
      <w:marTop w:val="0"/>
      <w:marBottom w:val="0"/>
      <w:divBdr>
        <w:top w:val="none" w:sz="0" w:space="0" w:color="auto"/>
        <w:left w:val="none" w:sz="0" w:space="0" w:color="auto"/>
        <w:bottom w:val="none" w:sz="0" w:space="0" w:color="auto"/>
        <w:right w:val="none" w:sz="0" w:space="0" w:color="auto"/>
      </w:divBdr>
    </w:div>
    <w:div w:id="21414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ericancommunities.org/chapter/unpacking-the-geography-of-americas-youth-suicide-epide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tificamerican.com/article/suicide-rates-rise-in-a-generation-of-black-youth/" TargetMode="External"/><Relationship Id="rId5" Type="http://schemas.openxmlformats.org/officeDocument/2006/relationships/hyperlink" Target="https://www.thetrevorproject.org/resources/article/facts-about-lgbtq-youth-suici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2</cp:revision>
  <dcterms:created xsi:type="dcterms:W3CDTF">2023-06-19T15:58:00Z</dcterms:created>
  <dcterms:modified xsi:type="dcterms:W3CDTF">2023-06-19T15:58:00Z</dcterms:modified>
</cp:coreProperties>
</file>