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79A3" w14:textId="4EC98F1F" w:rsidR="00AE1D55" w:rsidRPr="004B70B6" w:rsidRDefault="00A910DC" w:rsidP="004B70B6">
      <w:pPr>
        <w:pStyle w:val="Heading1"/>
        <w:rPr>
          <w:rFonts w:ascii="Georgia" w:hAnsi="Georgia"/>
        </w:rPr>
      </w:pPr>
      <w:r w:rsidRPr="004B70B6">
        <w:rPr>
          <w:rFonts w:ascii="Georgia" w:hAnsi="Georgia"/>
        </w:rPr>
        <w:t>Talking to Your Family About Study Abroad with APA</w:t>
      </w:r>
    </w:p>
    <w:p w14:paraId="63A1920F" w14:textId="334D43FE" w:rsidR="00A910DC" w:rsidRPr="004B70B6" w:rsidRDefault="00A910DC">
      <w:pPr>
        <w:rPr>
          <w:rFonts w:ascii="Georgia" w:hAnsi="Georgia"/>
        </w:rPr>
      </w:pPr>
      <w:r w:rsidRPr="004B70B6">
        <w:rPr>
          <w:rFonts w:ascii="Georgia" w:hAnsi="Georgia"/>
        </w:rPr>
        <w:t>10/9/2024</w:t>
      </w:r>
    </w:p>
    <w:p w14:paraId="62CC0A62" w14:textId="00598554" w:rsidR="00A910DC" w:rsidRPr="004B70B6" w:rsidRDefault="00A910DC" w:rsidP="00A910DC">
      <w:pPr>
        <w:rPr>
          <w:rFonts w:ascii="Georgia" w:hAnsi="Georgia"/>
        </w:rPr>
      </w:pPr>
    </w:p>
    <w:p w14:paraId="035296F9" w14:textId="0CEA4676" w:rsidR="00A910DC" w:rsidRPr="004B70B6" w:rsidRDefault="00A910DC" w:rsidP="004B70B6">
      <w:pPr>
        <w:pStyle w:val="Heading2"/>
        <w:numPr>
          <w:ilvl w:val="0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Finances</w:t>
      </w:r>
    </w:p>
    <w:p w14:paraId="45BFC375" w14:textId="1F5E41C9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Students studying abroad pay Bryn Mawr tuition to Bryn Mawr, and room &amp; board directly to the program</w:t>
      </w:r>
    </w:p>
    <w:p w14:paraId="0A9EAF66" w14:textId="5C650706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If you usually receive financial aid, that can carry over to study abroad</w:t>
      </w:r>
    </w:p>
    <w:p w14:paraId="553FE682" w14:textId="01669DAA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Make sure to talk to your Financial Aid counselor early to understand how your financial aid will support your study abroad experience</w:t>
      </w:r>
    </w:p>
    <w:p w14:paraId="20CED0F7" w14:textId="164DA752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You cannot work abroad; Bryn Mawr provides a $1000 grant in lieu of typical work-study earnings</w:t>
      </w:r>
    </w:p>
    <w:p w14:paraId="0EFA2236" w14:textId="7A9BCACB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Finances are often a big topic of discussion when you’re talking to family about your considerations for study abroad</w:t>
      </w:r>
    </w:p>
    <w:p w14:paraId="14D1C00D" w14:textId="1F4C68A6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Make sure to talk through what your program offers</w:t>
      </w:r>
    </w:p>
    <w:p w14:paraId="20462F5F" w14:textId="09861349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Do they offer excursions?</w:t>
      </w:r>
    </w:p>
    <w:p w14:paraId="15DA463F" w14:textId="00751F4E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Do they help cover some extra expenses, such as metro passes or museum passes?</w:t>
      </w:r>
    </w:p>
    <w:p w14:paraId="3E541FF3" w14:textId="74A2E17D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What kinds of housing do they offer? Are meals included?</w:t>
      </w:r>
    </w:p>
    <w:p w14:paraId="5E251417" w14:textId="4781915F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Plan for out-of-pocket expenses</w:t>
      </w:r>
    </w:p>
    <w:p w14:paraId="6BE508DC" w14:textId="77777777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Flight</w:t>
      </w:r>
    </w:p>
    <w:p w14:paraId="769832DF" w14:textId="7735F42B" w:rsidR="00A910DC" w:rsidRPr="004B70B6" w:rsidRDefault="00A910DC" w:rsidP="00A910DC">
      <w:pPr>
        <w:pStyle w:val="ListParagraph"/>
        <w:numPr>
          <w:ilvl w:val="3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 xml:space="preserve"> Unless you are Pell-eligible, flight costs will be an out-of-pocket expense</w:t>
      </w:r>
    </w:p>
    <w:p w14:paraId="037A9CE3" w14:textId="056777E9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 xml:space="preserve">Passport/Visa Costs </w:t>
      </w:r>
    </w:p>
    <w:p w14:paraId="765C7244" w14:textId="6CDE1FC1" w:rsidR="00A910DC" w:rsidRPr="004B70B6" w:rsidRDefault="00A910DC" w:rsidP="00A910DC">
      <w:pPr>
        <w:pStyle w:val="ListParagraph"/>
        <w:numPr>
          <w:ilvl w:val="3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Reach out to the Study Abroad team if you are interested in applying to the Passport Initiative, which is an opportunity to get college funding to renew or apply for a U.S. passport</w:t>
      </w:r>
    </w:p>
    <w:p w14:paraId="4ACA666B" w14:textId="62B592E3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Books, extra meals, a phone plan if applicable, etc.</w:t>
      </w:r>
    </w:p>
    <w:p w14:paraId="768CED98" w14:textId="4E10EE89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Talk about options to use travel miles, credit card points, etc.</w:t>
      </w:r>
    </w:p>
    <w:p w14:paraId="1CF2D3BA" w14:textId="5DB38F6D" w:rsidR="00A910DC" w:rsidRPr="004B70B6" w:rsidRDefault="00A910DC" w:rsidP="004B70B6">
      <w:pPr>
        <w:pStyle w:val="Heading2"/>
        <w:numPr>
          <w:ilvl w:val="0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Academics/Career Goals</w:t>
      </w:r>
    </w:p>
    <w:p w14:paraId="3B6FDD9D" w14:textId="58564B85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Family may have questions about how this experience will support your academic and career goals</w:t>
      </w:r>
    </w:p>
    <w:p w14:paraId="10BFC9BB" w14:textId="76FB219A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All courses taken while abroad at an approved program will transfer back to Bryn Mawr IF:</w:t>
      </w:r>
    </w:p>
    <w:p w14:paraId="43B7F43A" w14:textId="575260C4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You take the course for a grade and earn the equivalent of a 2.0/C or better</w:t>
      </w:r>
    </w:p>
    <w:p w14:paraId="3E37AEDE" w14:textId="7FCB05A8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You take courses in the Liberal Arts</w:t>
      </w:r>
    </w:p>
    <w:p w14:paraId="16A31695" w14:textId="423ADCC8" w:rsidR="00A910DC" w:rsidRPr="004B70B6" w:rsidRDefault="00A910DC" w:rsidP="00A910DC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You register for courses following the guidelines under your program on the Approved Programs List</w:t>
      </w:r>
    </w:p>
    <w:p w14:paraId="416A20C4" w14:textId="750368C9" w:rsidR="002E79BB" w:rsidRPr="004B70B6" w:rsidRDefault="002E79BB" w:rsidP="002E79BB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Some Study Abroad programs offer credit-bearing internship or volunteer opportunities</w:t>
      </w:r>
    </w:p>
    <w:p w14:paraId="1E894BCA" w14:textId="0078D531" w:rsidR="00A910DC" w:rsidRPr="004B70B6" w:rsidRDefault="00A910DC" w:rsidP="004B70B6">
      <w:pPr>
        <w:pStyle w:val="Heading2"/>
        <w:numPr>
          <w:ilvl w:val="0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Health &amp; Safety</w:t>
      </w:r>
    </w:p>
    <w:p w14:paraId="069C5878" w14:textId="1230D256" w:rsidR="00A910DC" w:rsidRPr="004B70B6" w:rsidRDefault="00A910DC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All programs on Bryn Mawr’s Approved Programs List have been vetted by the College</w:t>
      </w:r>
    </w:p>
    <w:p w14:paraId="5813F264" w14:textId="0C94F381" w:rsidR="002E79BB" w:rsidRPr="004B70B6" w:rsidRDefault="002E79BB" w:rsidP="00A910DC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lastRenderedPageBreak/>
        <w:t>It is a good idea to research the country and area you want to study in, and be up to date on potential risks or evolving situations</w:t>
      </w:r>
    </w:p>
    <w:p w14:paraId="24664B9B" w14:textId="68264EBB" w:rsidR="002E79BB" w:rsidRPr="004B70B6" w:rsidRDefault="002E79BB" w:rsidP="004B70B6">
      <w:pPr>
        <w:pStyle w:val="Heading2"/>
        <w:numPr>
          <w:ilvl w:val="0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APA</w:t>
      </w:r>
      <w:r w:rsidR="004B70B6" w:rsidRPr="004B70B6">
        <w:rPr>
          <w:rFonts w:ascii="Georgia" w:hAnsi="Georgia"/>
        </w:rPr>
        <w:t>’s Programs</w:t>
      </w:r>
    </w:p>
    <w:p w14:paraId="109288F4" w14:textId="75FCAD00" w:rsidR="002E79BB" w:rsidRPr="004B70B6" w:rsidRDefault="002E79BB" w:rsidP="002E79BB">
      <w:pPr>
        <w:pStyle w:val="ListParagraph"/>
        <w:numPr>
          <w:ilvl w:val="1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APA provides two semester or year-long programs that Bryn Mawr students can apply to:</w:t>
      </w:r>
    </w:p>
    <w:p w14:paraId="1B021EA5" w14:textId="113562DA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Paris</w:t>
      </w:r>
    </w:p>
    <w:p w14:paraId="416C4990" w14:textId="767D202B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Multi-Country (France, Morocco, Senegal)</w:t>
      </w:r>
    </w:p>
    <w:p w14:paraId="67DAADA4" w14:textId="0883EC38" w:rsidR="002E79BB" w:rsidRPr="004B70B6" w:rsidRDefault="002E79BB" w:rsidP="002E79BB">
      <w:pPr>
        <w:pStyle w:val="ListParagraph"/>
        <w:numPr>
          <w:ilvl w:val="1"/>
          <w:numId w:val="3"/>
        </w:numPr>
        <w:rPr>
          <w:rFonts w:ascii="Georgia" w:hAnsi="Georgia"/>
          <w:b/>
          <w:bCs/>
        </w:rPr>
      </w:pPr>
      <w:r w:rsidRPr="004B70B6">
        <w:rPr>
          <w:rFonts w:ascii="Georgia" w:hAnsi="Georgia"/>
          <w:b/>
          <w:bCs/>
        </w:rPr>
        <w:t>Both programs:</w:t>
      </w:r>
    </w:p>
    <w:p w14:paraId="58B337B4" w14:textId="77777777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The program is language-immersive</w:t>
      </w:r>
    </w:p>
    <w:p w14:paraId="1B59AEFD" w14:textId="1290E2D8" w:rsidR="002E79BB" w:rsidRPr="004B70B6" w:rsidRDefault="002E79BB" w:rsidP="002E79BB">
      <w:pPr>
        <w:pStyle w:val="ListParagraph"/>
        <w:numPr>
          <w:ilvl w:val="3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APA provides a 2-week intensive language course at the beginning of the semester</w:t>
      </w:r>
    </w:p>
    <w:p w14:paraId="140C521E" w14:textId="708F7EFF" w:rsidR="004B70B6" w:rsidRPr="004B70B6" w:rsidRDefault="002E79BB" w:rsidP="004B70B6">
      <w:pPr>
        <w:pStyle w:val="ListParagraph"/>
        <w:numPr>
          <w:ilvl w:val="3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There are also opportunities to work with language tutors on-site, even if it is just for support in writing a course assignment</w:t>
      </w:r>
    </w:p>
    <w:p w14:paraId="6A2DCDD5" w14:textId="6911CA43" w:rsidR="004B70B6" w:rsidRPr="004B70B6" w:rsidRDefault="004B70B6" w:rsidP="004B70B6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Students have access to 24/7 support, from pre-departure (visas, orientation, etc.) through the semester</w:t>
      </w:r>
    </w:p>
    <w:p w14:paraId="14E76BBE" w14:textId="1977C863" w:rsidR="002E79BB" w:rsidRPr="004B70B6" w:rsidRDefault="002E79BB" w:rsidP="002E79BB">
      <w:pPr>
        <w:pStyle w:val="ListParagraph"/>
        <w:numPr>
          <w:ilvl w:val="1"/>
          <w:numId w:val="3"/>
        </w:numPr>
        <w:rPr>
          <w:rFonts w:ascii="Georgia" w:hAnsi="Georgia"/>
          <w:b/>
          <w:bCs/>
        </w:rPr>
      </w:pPr>
      <w:r w:rsidRPr="004B70B6">
        <w:rPr>
          <w:rFonts w:ascii="Georgia" w:hAnsi="Georgia"/>
          <w:b/>
          <w:bCs/>
        </w:rPr>
        <w:t>Paris</w:t>
      </w:r>
    </w:p>
    <w:p w14:paraId="31CF1AB7" w14:textId="76DC2312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 xml:space="preserve">APA partners with several Parisian universities, including La Sorbonne, Nanterre, Saint-Denis, and more. </w:t>
      </w:r>
      <w:r w:rsidR="004B70B6" w:rsidRPr="004B70B6">
        <w:rPr>
          <w:rFonts w:ascii="Georgia" w:hAnsi="Georgia"/>
        </w:rPr>
        <w:t xml:space="preserve">APA helps students navigate the course registration process. </w:t>
      </w:r>
    </w:p>
    <w:p w14:paraId="7273DBB3" w14:textId="574637AD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APA also offers in-house courses that may be tied to cultural excursions</w:t>
      </w:r>
    </w:p>
    <w:p w14:paraId="20D2FDCD" w14:textId="367356C1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Excursions include a trip to Bourgogne, as well as many other cultural sites around France</w:t>
      </w:r>
    </w:p>
    <w:p w14:paraId="3986A8E8" w14:textId="511C7A65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Students receive a metro card as part of the program</w:t>
      </w:r>
    </w:p>
    <w:p w14:paraId="5840FC25" w14:textId="6E2A1507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There are also regular cultural activities available to students, from circus acts to dance performances and more</w:t>
      </w:r>
    </w:p>
    <w:p w14:paraId="76BEB503" w14:textId="638EEF37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Students have the option to live with a host family or in student housing</w:t>
      </w:r>
    </w:p>
    <w:p w14:paraId="3C501B7B" w14:textId="72BE0ACC" w:rsidR="002E79BB" w:rsidRPr="004B70B6" w:rsidRDefault="002E79BB" w:rsidP="002E79BB">
      <w:pPr>
        <w:pStyle w:val="ListParagraph"/>
        <w:numPr>
          <w:ilvl w:val="1"/>
          <w:numId w:val="3"/>
        </w:numPr>
        <w:rPr>
          <w:rFonts w:ascii="Georgia" w:hAnsi="Georgia"/>
          <w:b/>
          <w:bCs/>
        </w:rPr>
      </w:pPr>
      <w:r w:rsidRPr="004B70B6">
        <w:rPr>
          <w:rFonts w:ascii="Georgia" w:hAnsi="Georgia"/>
          <w:b/>
          <w:bCs/>
        </w:rPr>
        <w:t>Multi-Country</w:t>
      </w:r>
    </w:p>
    <w:p w14:paraId="48ACFB5D" w14:textId="37C4C452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Students spend about 6 weeks in each country, starting in Paris</w:t>
      </w:r>
    </w:p>
    <w:p w14:paraId="792347BA" w14:textId="296A185D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Students live with host families at each location</w:t>
      </w:r>
    </w:p>
    <w:p w14:paraId="2C02DC96" w14:textId="36B15FD2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>All courses are with the study abroad cohort</w:t>
      </w:r>
    </w:p>
    <w:p w14:paraId="5259B4B2" w14:textId="7C53F822" w:rsidR="002E79BB" w:rsidRPr="004B70B6" w:rsidRDefault="002E79BB" w:rsidP="002E79BB">
      <w:pPr>
        <w:pStyle w:val="ListParagraph"/>
        <w:numPr>
          <w:ilvl w:val="2"/>
          <w:numId w:val="3"/>
        </w:numPr>
        <w:rPr>
          <w:rFonts w:ascii="Georgia" w:hAnsi="Georgia"/>
        </w:rPr>
      </w:pPr>
      <w:r w:rsidRPr="004B70B6">
        <w:rPr>
          <w:rFonts w:ascii="Georgia" w:hAnsi="Georgia"/>
        </w:rPr>
        <w:t xml:space="preserve">3 cultural events, 1 weekend excursion, and 1 day trip </w:t>
      </w:r>
      <w:proofErr w:type="gramStart"/>
      <w:r w:rsidRPr="004B70B6">
        <w:rPr>
          <w:rFonts w:ascii="Georgia" w:hAnsi="Georgia"/>
        </w:rPr>
        <w:t>are</w:t>
      </w:r>
      <w:proofErr w:type="gramEnd"/>
      <w:r w:rsidRPr="004B70B6">
        <w:rPr>
          <w:rFonts w:ascii="Georgia" w:hAnsi="Georgia"/>
        </w:rPr>
        <w:t xml:space="preserve"> offered in each host city</w:t>
      </w:r>
    </w:p>
    <w:sectPr w:rsidR="002E79BB" w:rsidRPr="004B70B6" w:rsidSect="004B7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4B6A"/>
    <w:multiLevelType w:val="hybridMultilevel"/>
    <w:tmpl w:val="9EB28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6E16"/>
    <w:multiLevelType w:val="hybridMultilevel"/>
    <w:tmpl w:val="C8DC2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16E"/>
    <w:multiLevelType w:val="hybridMultilevel"/>
    <w:tmpl w:val="DE5AB1E6"/>
    <w:lvl w:ilvl="0" w:tplc="5E2A00D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47136">
    <w:abstractNumId w:val="0"/>
  </w:num>
  <w:num w:numId="2" w16cid:durableId="1354302301">
    <w:abstractNumId w:val="2"/>
  </w:num>
  <w:num w:numId="3" w16cid:durableId="102046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DC"/>
    <w:rsid w:val="002E79BB"/>
    <w:rsid w:val="004B70B6"/>
    <w:rsid w:val="00A2444D"/>
    <w:rsid w:val="00A910DC"/>
    <w:rsid w:val="00AE1D55"/>
    <w:rsid w:val="00C739ED"/>
    <w:rsid w:val="00D8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1FF2"/>
  <w15:chartTrackingRefBased/>
  <w15:docId w15:val="{BA57E72A-01ED-4D6B-9A18-8D753CBC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Sugarman</dc:creator>
  <cp:keywords/>
  <dc:description/>
  <cp:lastModifiedBy>Gabby Sugarman</cp:lastModifiedBy>
  <cp:revision>1</cp:revision>
  <dcterms:created xsi:type="dcterms:W3CDTF">2024-10-09T18:37:00Z</dcterms:created>
  <dcterms:modified xsi:type="dcterms:W3CDTF">2024-10-09T19:53:00Z</dcterms:modified>
</cp:coreProperties>
</file>