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20AA9" w14:textId="0365993D" w:rsidR="00CA1444" w:rsidRPr="009815EF" w:rsidRDefault="00CA1444" w:rsidP="009815EF">
      <w:pPr>
        <w:pStyle w:val="Heading1"/>
      </w:pPr>
      <w:r w:rsidRPr="009815EF">
        <w:t>Plan Your Community of Inquiry Approach</w:t>
      </w:r>
    </w:p>
    <w:p w14:paraId="7CB22C0A" w14:textId="77777777" w:rsidR="00CA1444" w:rsidRPr="002371AA" w:rsidRDefault="00CA1444" w:rsidP="00CA1444">
      <w:pPr>
        <w:textAlignment w:val="baseline"/>
        <w:rPr>
          <w:rFonts w:asciiTheme="majorHAnsi" w:eastAsia="Times New Roman" w:hAnsiTheme="majorHAnsi" w:cstheme="majorHAnsi"/>
          <w:sz w:val="22"/>
          <w:szCs w:val="22"/>
          <w:lang w:bidi="he-IL"/>
        </w:rPr>
      </w:pPr>
    </w:p>
    <w:p w14:paraId="24FEFB1C" w14:textId="30A7D787" w:rsidR="00CA1444" w:rsidRPr="006D17F7" w:rsidRDefault="00CA1444" w:rsidP="00CA1444">
      <w:pPr>
        <w:textAlignment w:val="baseline"/>
        <w:rPr>
          <w:rFonts w:asciiTheme="majorHAnsi" w:eastAsia="Times New Roman" w:hAnsiTheme="majorHAnsi" w:cstheme="majorHAnsi"/>
          <w:lang w:bidi="he-IL"/>
        </w:rPr>
      </w:pPr>
      <w:r w:rsidRPr="006D17F7">
        <w:rPr>
          <w:rFonts w:asciiTheme="majorHAnsi" w:eastAsia="Times New Roman" w:hAnsiTheme="majorHAnsi" w:cstheme="majorHAnsi"/>
          <w:lang w:bidi="he-IL"/>
        </w:rPr>
        <w:t>Using the table template below, choose the ways in which you plan to create a community of inquiry in your class. Make sure to have at least one option for each type of presence (teaching, cognitive, social).  </w:t>
      </w:r>
      <w:r w:rsidR="007611AA">
        <w:rPr>
          <w:rFonts w:asciiTheme="majorHAnsi" w:eastAsia="Times New Roman" w:hAnsiTheme="majorHAnsi" w:cstheme="majorHAnsi"/>
          <w:lang w:bidi="he-IL"/>
        </w:rPr>
        <w:t>See some suggestions below.</w:t>
      </w:r>
    </w:p>
    <w:p w14:paraId="412AE66F" w14:textId="77777777" w:rsidR="00CA1444" w:rsidRPr="002371AA" w:rsidRDefault="00CA1444" w:rsidP="00CA1444">
      <w:pPr>
        <w:textAlignment w:val="baseline"/>
        <w:rPr>
          <w:rFonts w:asciiTheme="majorHAnsi" w:eastAsia="Times New Roman" w:hAnsiTheme="majorHAnsi" w:cstheme="majorHAnsi"/>
          <w:sz w:val="18"/>
          <w:szCs w:val="18"/>
          <w:lang w:bidi="he-IL"/>
        </w:rPr>
      </w:pPr>
    </w:p>
    <w:tbl>
      <w:tblPr>
        <w:tblW w:w="8542" w:type="dxa"/>
        <w:tblInd w:w="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3600"/>
        <w:gridCol w:w="3240"/>
      </w:tblGrid>
      <w:tr w:rsidR="002371AA" w:rsidRPr="002371AA" w14:paraId="2039CFA3" w14:textId="77777777" w:rsidTr="006D17F7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hideMark/>
          </w:tcPr>
          <w:p w14:paraId="64F41F49" w14:textId="1CBC53B7" w:rsidR="006D17F7" w:rsidRPr="006D17F7" w:rsidRDefault="006D17F7" w:rsidP="006D17F7">
            <w:pPr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bidi="he-IL"/>
              </w:rPr>
            </w:pPr>
            <w:r w:rsidRPr="006D17F7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bidi="he-IL"/>
              </w:rPr>
              <w:t>Presence</w:t>
            </w:r>
          </w:p>
        </w:tc>
        <w:tc>
          <w:tcPr>
            <w:tcW w:w="3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70C0"/>
            <w:hideMark/>
          </w:tcPr>
          <w:p w14:paraId="0461239E" w14:textId="77777777" w:rsidR="00CA1444" w:rsidRPr="006D17F7" w:rsidRDefault="00CA1444" w:rsidP="00CA1444">
            <w:pPr>
              <w:textAlignment w:val="baseline"/>
              <w:rPr>
                <w:rFonts w:asciiTheme="majorHAnsi" w:eastAsia="Times New Roman" w:hAnsiTheme="majorHAnsi" w:cstheme="majorHAnsi"/>
                <w:color w:val="FFFFFF" w:themeColor="background1"/>
                <w:lang w:bidi="he-IL"/>
              </w:rPr>
            </w:pPr>
            <w:r w:rsidRPr="006D17F7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bidi="he-IL"/>
              </w:rPr>
              <w:t>Strategies</w:t>
            </w:r>
            <w:r w:rsidRPr="006D17F7">
              <w:rPr>
                <w:rFonts w:asciiTheme="majorHAnsi" w:eastAsia="Times New Roman" w:hAnsiTheme="majorHAnsi" w:cstheme="majorHAnsi"/>
                <w:color w:val="FFFFFF" w:themeColor="background1"/>
                <w:lang w:bidi="he-IL"/>
              </w:rPr>
              <w:t> </w:t>
            </w:r>
          </w:p>
        </w:tc>
        <w:tc>
          <w:tcPr>
            <w:tcW w:w="32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70C0"/>
            <w:hideMark/>
          </w:tcPr>
          <w:p w14:paraId="1DA00DB0" w14:textId="77777777" w:rsidR="00CA1444" w:rsidRPr="006D17F7" w:rsidRDefault="00CA1444" w:rsidP="00CA1444">
            <w:pPr>
              <w:textAlignment w:val="baseline"/>
              <w:rPr>
                <w:rFonts w:asciiTheme="majorHAnsi" w:eastAsia="Times New Roman" w:hAnsiTheme="majorHAnsi" w:cstheme="majorHAnsi"/>
                <w:color w:val="FFFFFF" w:themeColor="background1"/>
                <w:lang w:bidi="he-IL"/>
              </w:rPr>
            </w:pPr>
            <w:r w:rsidRPr="006D17F7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bidi="he-IL"/>
              </w:rPr>
              <w:t>Daily/weekly/other</w:t>
            </w:r>
            <w:r w:rsidRPr="006D17F7">
              <w:rPr>
                <w:rFonts w:asciiTheme="majorHAnsi" w:eastAsia="Times New Roman" w:hAnsiTheme="majorHAnsi" w:cstheme="majorHAnsi"/>
                <w:color w:val="FFFFFF" w:themeColor="background1"/>
                <w:lang w:bidi="he-IL"/>
              </w:rPr>
              <w:t> </w:t>
            </w:r>
          </w:p>
        </w:tc>
      </w:tr>
      <w:tr w:rsidR="00CA1444" w:rsidRPr="002371AA" w14:paraId="0007041C" w14:textId="77777777" w:rsidTr="006D17F7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hideMark/>
          </w:tcPr>
          <w:p w14:paraId="64DF6A9E" w14:textId="697B1E8E" w:rsidR="00CA1444" w:rsidRPr="006D17F7" w:rsidRDefault="00CA1444" w:rsidP="002371AA">
            <w:pPr>
              <w:textAlignment w:val="baseline"/>
              <w:rPr>
                <w:rFonts w:asciiTheme="majorHAnsi" w:eastAsia="Times New Roman" w:hAnsiTheme="majorHAnsi" w:cstheme="majorHAnsi"/>
                <w:color w:val="FFFFFF" w:themeColor="background1"/>
                <w:lang w:bidi="he-IL"/>
              </w:rPr>
            </w:pPr>
            <w:r w:rsidRPr="006D17F7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bidi="he-IL"/>
              </w:rPr>
              <w:t xml:space="preserve">Teaching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9B6D34A" w14:textId="47ABBCC4" w:rsidR="00CA1444" w:rsidRPr="00013E86" w:rsidRDefault="002371AA" w:rsidP="00CA1444">
            <w:pPr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bidi="he-IL"/>
              </w:rPr>
            </w:pPr>
            <w:r w:rsidRPr="00013E86">
              <w:rPr>
                <w:rFonts w:asciiTheme="majorHAnsi" w:eastAsia="Times New Roman" w:hAnsiTheme="majorHAnsi" w:cstheme="majorHAnsi"/>
                <w:i/>
                <w:iCs/>
                <w:color w:val="0070C0"/>
                <w:sz w:val="20"/>
                <w:szCs w:val="20"/>
                <w:lang w:bidi="he-IL"/>
              </w:rPr>
              <w:t>Write your strategies here</w:t>
            </w:r>
          </w:p>
          <w:p w14:paraId="658393AC" w14:textId="77777777" w:rsidR="002371AA" w:rsidRPr="002371AA" w:rsidRDefault="002371AA" w:rsidP="00CA1444">
            <w:pPr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bidi="he-IL"/>
              </w:rPr>
            </w:pPr>
          </w:p>
          <w:p w14:paraId="12DA2934" w14:textId="77777777" w:rsidR="002371AA" w:rsidRPr="002371AA" w:rsidRDefault="002371AA" w:rsidP="00CA1444">
            <w:pPr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bidi="he-IL"/>
              </w:rPr>
            </w:pPr>
          </w:p>
          <w:p w14:paraId="6A0A1766" w14:textId="666A30AC" w:rsidR="002371AA" w:rsidRPr="002371AA" w:rsidRDefault="002371AA" w:rsidP="00CA1444">
            <w:pPr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bidi="he-IL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0308264" w14:textId="08A1AE8C" w:rsidR="00CA1444" w:rsidRPr="00013E86" w:rsidRDefault="00CA1444" w:rsidP="00CA1444">
            <w:pPr>
              <w:textAlignment w:val="baseline"/>
              <w:rPr>
                <w:rFonts w:asciiTheme="majorHAnsi" w:eastAsia="Times New Roman" w:hAnsiTheme="majorHAnsi" w:cstheme="majorHAnsi"/>
                <w:i/>
                <w:iCs/>
                <w:color w:val="0070C0"/>
                <w:sz w:val="20"/>
                <w:szCs w:val="20"/>
                <w:lang w:bidi="he-IL"/>
              </w:rPr>
            </w:pPr>
            <w:r w:rsidRPr="00013E86">
              <w:rPr>
                <w:rFonts w:asciiTheme="majorHAnsi" w:eastAsia="Times New Roman" w:hAnsiTheme="majorHAnsi" w:cstheme="majorHAnsi"/>
                <w:i/>
                <w:iCs/>
                <w:color w:val="0070C0"/>
                <w:sz w:val="20"/>
                <w:szCs w:val="20"/>
                <w:lang w:bidi="he-IL"/>
              </w:rPr>
              <w:t> </w:t>
            </w:r>
            <w:r w:rsidR="002371AA" w:rsidRPr="00013E86">
              <w:rPr>
                <w:rFonts w:asciiTheme="majorHAnsi" w:eastAsia="Times New Roman" w:hAnsiTheme="majorHAnsi" w:cstheme="majorHAnsi"/>
                <w:i/>
                <w:iCs/>
                <w:color w:val="0070C0"/>
                <w:sz w:val="20"/>
                <w:szCs w:val="20"/>
                <w:lang w:bidi="he-IL"/>
              </w:rPr>
              <w:t>Will this happen daily/weekly?</w:t>
            </w:r>
          </w:p>
        </w:tc>
      </w:tr>
      <w:tr w:rsidR="00CA1444" w:rsidRPr="002371AA" w14:paraId="50A0ACE1" w14:textId="77777777" w:rsidTr="006D17F7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hideMark/>
          </w:tcPr>
          <w:p w14:paraId="59BEB4FA" w14:textId="33500D45" w:rsidR="00CA1444" w:rsidRPr="006D17F7" w:rsidRDefault="00CA1444" w:rsidP="002371AA">
            <w:pPr>
              <w:textAlignment w:val="baseline"/>
              <w:rPr>
                <w:rFonts w:asciiTheme="majorHAnsi" w:eastAsia="Times New Roman" w:hAnsiTheme="majorHAnsi" w:cstheme="majorHAnsi"/>
                <w:color w:val="FFFFFF" w:themeColor="background1"/>
                <w:lang w:bidi="he-IL"/>
              </w:rPr>
            </w:pPr>
            <w:r w:rsidRPr="006D17F7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bidi="he-IL"/>
              </w:rPr>
              <w:t xml:space="preserve">Cognitive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56455F7" w14:textId="5F3CA381" w:rsidR="002371AA" w:rsidRPr="006D17F7" w:rsidRDefault="002371AA" w:rsidP="006D17F7">
            <w:pPr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bidi="he-IL"/>
              </w:rPr>
            </w:pPr>
          </w:p>
          <w:p w14:paraId="6E6A43A1" w14:textId="77777777" w:rsidR="002371AA" w:rsidRDefault="002371AA" w:rsidP="00CA1444">
            <w:pPr>
              <w:textAlignment w:val="baseline"/>
              <w:rPr>
                <w:rFonts w:asciiTheme="majorHAnsi" w:eastAsia="Times New Roman" w:hAnsiTheme="majorHAnsi" w:cstheme="majorHAnsi"/>
                <w:lang w:bidi="he-IL"/>
              </w:rPr>
            </w:pPr>
          </w:p>
          <w:p w14:paraId="0431B88F" w14:textId="0542CAC9" w:rsidR="002371AA" w:rsidRPr="002371AA" w:rsidRDefault="002371AA" w:rsidP="00CA1444">
            <w:pPr>
              <w:textAlignment w:val="baseline"/>
              <w:rPr>
                <w:rFonts w:asciiTheme="majorHAnsi" w:eastAsia="Times New Roman" w:hAnsiTheme="majorHAnsi" w:cstheme="majorHAnsi"/>
                <w:lang w:bidi="he-IL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2820258" w14:textId="77777777" w:rsidR="00CA1444" w:rsidRPr="002371AA" w:rsidRDefault="00CA1444" w:rsidP="00CA1444">
            <w:pPr>
              <w:textAlignment w:val="baseline"/>
              <w:rPr>
                <w:rFonts w:asciiTheme="majorHAnsi" w:eastAsia="Times New Roman" w:hAnsiTheme="majorHAnsi" w:cstheme="majorHAnsi"/>
                <w:lang w:bidi="he-IL"/>
              </w:rPr>
            </w:pPr>
            <w:r w:rsidRPr="002371AA">
              <w:rPr>
                <w:rFonts w:asciiTheme="majorHAnsi" w:eastAsia="Times New Roman" w:hAnsiTheme="majorHAnsi" w:cstheme="majorHAnsi"/>
                <w:sz w:val="22"/>
                <w:szCs w:val="22"/>
                <w:lang w:bidi="he-IL"/>
              </w:rPr>
              <w:t> </w:t>
            </w:r>
          </w:p>
        </w:tc>
      </w:tr>
      <w:tr w:rsidR="00CA1444" w:rsidRPr="002371AA" w14:paraId="672B52E3" w14:textId="77777777" w:rsidTr="006D17F7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hideMark/>
          </w:tcPr>
          <w:p w14:paraId="21F77486" w14:textId="2119E82F" w:rsidR="00CA1444" w:rsidRPr="006D17F7" w:rsidRDefault="00CA1444" w:rsidP="002371AA">
            <w:pPr>
              <w:textAlignment w:val="baseline"/>
              <w:rPr>
                <w:rFonts w:asciiTheme="majorHAnsi" w:eastAsia="Times New Roman" w:hAnsiTheme="majorHAnsi" w:cstheme="majorHAnsi"/>
                <w:color w:val="FFFFFF" w:themeColor="background1"/>
                <w:lang w:bidi="he-IL"/>
              </w:rPr>
            </w:pPr>
            <w:r w:rsidRPr="006D17F7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bidi="he-IL"/>
              </w:rPr>
              <w:t xml:space="preserve">Social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27513C9" w14:textId="77777777" w:rsidR="002371AA" w:rsidRDefault="002371AA" w:rsidP="00CA1444">
            <w:pPr>
              <w:textAlignment w:val="baseline"/>
              <w:rPr>
                <w:rFonts w:asciiTheme="majorHAnsi" w:eastAsia="Times New Roman" w:hAnsiTheme="majorHAnsi" w:cstheme="majorHAnsi"/>
                <w:lang w:bidi="he-IL"/>
              </w:rPr>
            </w:pPr>
          </w:p>
          <w:p w14:paraId="5A804820" w14:textId="77777777" w:rsidR="002371AA" w:rsidRDefault="002371AA" w:rsidP="00CA1444">
            <w:pPr>
              <w:textAlignment w:val="baseline"/>
              <w:rPr>
                <w:rFonts w:asciiTheme="majorHAnsi" w:eastAsia="Times New Roman" w:hAnsiTheme="majorHAnsi" w:cstheme="majorHAnsi"/>
                <w:lang w:bidi="he-IL"/>
              </w:rPr>
            </w:pPr>
          </w:p>
          <w:p w14:paraId="2D3DEE7B" w14:textId="10850793" w:rsidR="002371AA" w:rsidRPr="002371AA" w:rsidRDefault="002371AA" w:rsidP="00CA1444">
            <w:pPr>
              <w:textAlignment w:val="baseline"/>
              <w:rPr>
                <w:rFonts w:asciiTheme="majorHAnsi" w:eastAsia="Times New Roman" w:hAnsiTheme="majorHAnsi" w:cstheme="majorHAnsi"/>
                <w:lang w:bidi="he-IL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BF2A832" w14:textId="77777777" w:rsidR="00CA1444" w:rsidRPr="002371AA" w:rsidRDefault="00CA1444" w:rsidP="00CA1444">
            <w:pPr>
              <w:textAlignment w:val="baseline"/>
              <w:rPr>
                <w:rFonts w:asciiTheme="majorHAnsi" w:eastAsia="Times New Roman" w:hAnsiTheme="majorHAnsi" w:cstheme="majorHAnsi"/>
                <w:lang w:bidi="he-IL"/>
              </w:rPr>
            </w:pPr>
            <w:r w:rsidRPr="002371AA">
              <w:rPr>
                <w:rFonts w:asciiTheme="majorHAnsi" w:eastAsia="Times New Roman" w:hAnsiTheme="majorHAnsi" w:cstheme="majorHAnsi"/>
                <w:sz w:val="22"/>
                <w:szCs w:val="22"/>
                <w:lang w:bidi="he-IL"/>
              </w:rPr>
              <w:t> </w:t>
            </w:r>
          </w:p>
        </w:tc>
      </w:tr>
    </w:tbl>
    <w:p w14:paraId="3ECAD54E" w14:textId="77777777" w:rsidR="00CA1444" w:rsidRPr="002371AA" w:rsidRDefault="00CA1444" w:rsidP="00CA1444">
      <w:pPr>
        <w:textAlignment w:val="baseline"/>
        <w:rPr>
          <w:rFonts w:asciiTheme="majorHAnsi" w:eastAsia="Times New Roman" w:hAnsiTheme="majorHAnsi" w:cstheme="majorHAnsi"/>
          <w:sz w:val="18"/>
          <w:szCs w:val="18"/>
          <w:lang w:bidi="he-IL"/>
        </w:rPr>
      </w:pPr>
      <w:r w:rsidRPr="002371AA">
        <w:rPr>
          <w:rFonts w:asciiTheme="majorHAnsi" w:eastAsia="Times New Roman" w:hAnsiTheme="majorHAnsi" w:cstheme="majorHAnsi"/>
          <w:sz w:val="22"/>
          <w:szCs w:val="22"/>
          <w:lang w:bidi="he-IL"/>
        </w:rPr>
        <w:t> </w:t>
      </w:r>
    </w:p>
    <w:p w14:paraId="0665DD51" w14:textId="69F58441" w:rsidR="00CA1444" w:rsidRPr="006D17F7" w:rsidRDefault="00CA1444" w:rsidP="00CA1444">
      <w:pPr>
        <w:textAlignment w:val="baseline"/>
        <w:rPr>
          <w:rFonts w:asciiTheme="majorHAnsi" w:eastAsia="Times New Roman" w:hAnsiTheme="majorHAnsi" w:cstheme="majorHAnsi"/>
          <w:lang w:bidi="he-IL"/>
        </w:rPr>
      </w:pPr>
      <w:r w:rsidRPr="006D17F7">
        <w:rPr>
          <w:rFonts w:asciiTheme="majorHAnsi" w:eastAsia="Times New Roman" w:hAnsiTheme="majorHAnsi" w:cstheme="majorHAnsi"/>
          <w:lang w:bidi="he-IL"/>
        </w:rPr>
        <w:t>Express to your students via a short message to your class (via your introduction video, a Moodle discussion forum, or email) a brief description of your Community of Inquiry plan for the class and how you’ll use your time together during the course to foster a sense of shared discovery. The table template is for your internal planning purposes.  </w:t>
      </w:r>
    </w:p>
    <w:p w14:paraId="002B2367" w14:textId="77777777" w:rsidR="002F59A6" w:rsidRDefault="002F59A6">
      <w:pPr>
        <w:rPr>
          <w:rFonts w:asciiTheme="majorHAnsi" w:hAnsiTheme="majorHAnsi" w:cstheme="majorHAnsi"/>
        </w:rPr>
      </w:pPr>
    </w:p>
    <w:p w14:paraId="73D4BAE6" w14:textId="61034ABA" w:rsidR="00913213" w:rsidRDefault="0091321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Some possibilities include:</w:t>
      </w:r>
    </w:p>
    <w:p w14:paraId="7566A124" w14:textId="77777777" w:rsidR="00913213" w:rsidRDefault="00913213">
      <w:pPr>
        <w:rPr>
          <w:rFonts w:asciiTheme="majorHAnsi" w:hAnsiTheme="majorHAnsi" w:cstheme="majorHAnsi"/>
        </w:rPr>
      </w:pPr>
    </w:p>
    <w:p w14:paraId="4EE49768" w14:textId="4D9EAB12" w:rsidR="00913213" w:rsidRPr="00913213" w:rsidRDefault="00913213" w:rsidP="0087042C">
      <w:pPr>
        <w:tabs>
          <w:tab w:val="left" w:pos="360"/>
        </w:tabs>
        <w:ind w:left="720" w:hanging="72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ab/>
      </w:r>
      <w:r w:rsidRPr="0087042C">
        <w:rPr>
          <w:rFonts w:asciiTheme="majorHAnsi" w:hAnsiTheme="majorHAnsi" w:cstheme="majorHAnsi"/>
          <w:b/>
          <w:bCs/>
          <w:u w:val="single"/>
        </w:rPr>
        <w:t>Teaching Presence</w:t>
      </w:r>
      <w:r>
        <w:rPr>
          <w:rFonts w:asciiTheme="majorHAnsi" w:hAnsiTheme="majorHAnsi" w:cstheme="majorHAnsi"/>
          <w:b/>
          <w:bCs/>
        </w:rPr>
        <w:t xml:space="preserve">: </w:t>
      </w:r>
      <w:r w:rsidRPr="00913213">
        <w:rPr>
          <w:rFonts w:asciiTheme="majorHAnsi" w:hAnsiTheme="majorHAnsi" w:cstheme="majorHAnsi"/>
          <w:b/>
          <w:bCs/>
        </w:rPr>
        <w:t>Teaching presence is defined as the design, facilitation, and direction of cognitive and social processes for the purpose of realizing personally meaningful and educationally worthwhile learning outcomes.</w:t>
      </w:r>
      <w:r w:rsidR="0087042C">
        <w:rPr>
          <w:rFonts w:asciiTheme="majorHAnsi" w:hAnsiTheme="majorHAnsi" w:cstheme="majorHAnsi"/>
          <w:b/>
          <w:bCs/>
        </w:rPr>
        <w:t xml:space="preserve">  </w:t>
      </w:r>
      <w:r w:rsidRPr="00913213">
        <w:rPr>
          <w:rFonts w:asciiTheme="majorHAnsi" w:hAnsiTheme="majorHAnsi" w:cstheme="majorHAnsi"/>
          <w:b/>
          <w:bCs/>
        </w:rPr>
        <w:t>Teaching presence includes designing and administering learning activities, establishing and maintaining an active learning community, and providing direct instruction.</w:t>
      </w:r>
    </w:p>
    <w:p w14:paraId="55246AD7" w14:textId="5B15AEF9" w:rsidR="00913213" w:rsidRDefault="00913213">
      <w:pPr>
        <w:rPr>
          <w:rFonts w:asciiTheme="majorHAnsi" w:hAnsiTheme="majorHAnsi" w:cstheme="majorHAnsi"/>
        </w:rPr>
      </w:pPr>
    </w:p>
    <w:p w14:paraId="1C719BB3" w14:textId="77777777" w:rsidR="00913213" w:rsidRPr="00913213" w:rsidRDefault="00913213" w:rsidP="00913213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913213">
        <w:rPr>
          <w:rFonts w:asciiTheme="majorHAnsi" w:hAnsiTheme="majorHAnsi" w:cstheme="majorHAnsi"/>
        </w:rPr>
        <w:t>Create an introductory video of yourself for your students that includes personal information.</w:t>
      </w:r>
    </w:p>
    <w:p w14:paraId="4D6EE370" w14:textId="77777777" w:rsidR="00913213" w:rsidRPr="00913213" w:rsidRDefault="00913213" w:rsidP="00913213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913213">
        <w:rPr>
          <w:rFonts w:asciiTheme="majorHAnsi" w:hAnsiTheme="majorHAnsi" w:cstheme="majorHAnsi"/>
        </w:rPr>
        <w:t>Provide clear expectations on how students can reach you synchronously and asynchronously.</w:t>
      </w:r>
    </w:p>
    <w:p w14:paraId="32182F7B" w14:textId="77777777" w:rsidR="00913213" w:rsidRPr="00913213" w:rsidRDefault="00913213" w:rsidP="00913213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913213">
        <w:rPr>
          <w:rFonts w:asciiTheme="majorHAnsi" w:hAnsiTheme="majorHAnsi" w:cstheme="majorHAnsi"/>
        </w:rPr>
        <w:t>Create learning pathways for students with clear signposts and time management suggestions.</w:t>
      </w:r>
    </w:p>
    <w:p w14:paraId="64E25BD2" w14:textId="77777777" w:rsidR="00913213" w:rsidRPr="00913213" w:rsidRDefault="00913213" w:rsidP="00913213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913213">
        <w:rPr>
          <w:rFonts w:asciiTheme="majorHAnsi" w:hAnsiTheme="majorHAnsi" w:cstheme="majorHAnsi"/>
        </w:rPr>
        <w:t>Clearly explain how assignments relate to the learning objectives and how you will grade them.</w:t>
      </w:r>
    </w:p>
    <w:p w14:paraId="5AE974D5" w14:textId="77777777" w:rsidR="00913213" w:rsidRPr="00913213" w:rsidRDefault="00913213" w:rsidP="00913213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913213">
        <w:rPr>
          <w:rFonts w:asciiTheme="majorHAnsi" w:hAnsiTheme="majorHAnsi" w:cstheme="majorHAnsi"/>
        </w:rPr>
        <w:t xml:space="preserve">Include early low-stakes activities to make students comfortable with technology. </w:t>
      </w:r>
    </w:p>
    <w:p w14:paraId="4933FEA6" w14:textId="77777777" w:rsidR="00913213" w:rsidRPr="00913213" w:rsidRDefault="00913213" w:rsidP="00913213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913213">
        <w:rPr>
          <w:rFonts w:asciiTheme="majorHAnsi" w:hAnsiTheme="majorHAnsi" w:cstheme="majorHAnsi"/>
        </w:rPr>
        <w:t>Use a variety of formative assessments (e.g., polls, quizzes, discussion posts, reflective writing assignments) and provide ample timely, actionable, and substantive feedback.</w:t>
      </w:r>
    </w:p>
    <w:p w14:paraId="6ABCF607" w14:textId="77777777" w:rsidR="00913213" w:rsidRPr="00913213" w:rsidRDefault="00913213" w:rsidP="00913213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913213">
        <w:rPr>
          <w:rFonts w:asciiTheme="majorHAnsi" w:hAnsiTheme="majorHAnsi" w:cstheme="majorHAnsi"/>
        </w:rPr>
        <w:t>Be present in discussion forums, sharing personal meaning or focusing discussion, if appropriate.</w:t>
      </w:r>
    </w:p>
    <w:p w14:paraId="6E374E92" w14:textId="77777777" w:rsidR="00913213" w:rsidRDefault="00913213" w:rsidP="00913213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913213">
        <w:rPr>
          <w:rFonts w:asciiTheme="majorHAnsi" w:hAnsiTheme="majorHAnsi" w:cstheme="majorHAnsi"/>
        </w:rPr>
        <w:t>Check in with students regularly and reach out to those who fall behind.</w:t>
      </w:r>
    </w:p>
    <w:p w14:paraId="6E3E7BC8" w14:textId="77777777" w:rsidR="00913213" w:rsidRDefault="00913213" w:rsidP="00913213">
      <w:pPr>
        <w:rPr>
          <w:rFonts w:asciiTheme="majorHAnsi" w:hAnsiTheme="majorHAnsi" w:cstheme="majorHAnsi"/>
        </w:rPr>
      </w:pPr>
    </w:p>
    <w:p w14:paraId="0532E24D" w14:textId="4DF09664" w:rsidR="00913213" w:rsidRDefault="00913213" w:rsidP="0087042C">
      <w:pPr>
        <w:tabs>
          <w:tab w:val="left" w:pos="450"/>
        </w:tabs>
        <w:ind w:left="720" w:hanging="72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lastRenderedPageBreak/>
        <w:tab/>
      </w:r>
      <w:r w:rsidRPr="0087042C">
        <w:rPr>
          <w:rFonts w:asciiTheme="majorHAnsi" w:hAnsiTheme="majorHAnsi" w:cstheme="majorHAnsi"/>
          <w:b/>
          <w:bCs/>
          <w:u w:val="single"/>
        </w:rPr>
        <w:t>Social Presence</w:t>
      </w:r>
      <w:r w:rsidR="0087042C">
        <w:rPr>
          <w:rFonts w:asciiTheme="majorHAnsi" w:hAnsiTheme="majorHAnsi" w:cstheme="majorHAnsi"/>
          <w:b/>
          <w:bCs/>
        </w:rPr>
        <w:t xml:space="preserve">: </w:t>
      </w:r>
      <w:r w:rsidR="0087042C" w:rsidRPr="0087042C">
        <w:rPr>
          <w:rFonts w:asciiTheme="majorHAnsi" w:hAnsiTheme="majorHAnsi" w:cstheme="majorHAnsi"/>
          <w:b/>
          <w:bCs/>
        </w:rPr>
        <w:t xml:space="preserve">Social presence is the ability of learners to project their personality and affect into the community of inquiry, thereby presenting themselves as </w:t>
      </w:r>
      <w:r w:rsidR="0087042C">
        <w:rPr>
          <w:rFonts w:asciiTheme="majorHAnsi" w:hAnsiTheme="majorHAnsi" w:cstheme="majorHAnsi"/>
          <w:b/>
          <w:bCs/>
        </w:rPr>
        <w:t>‘</w:t>
      </w:r>
      <w:r w:rsidR="0087042C" w:rsidRPr="0087042C">
        <w:rPr>
          <w:rFonts w:asciiTheme="majorHAnsi" w:hAnsiTheme="majorHAnsi" w:cstheme="majorHAnsi"/>
          <w:b/>
          <w:bCs/>
        </w:rPr>
        <w:t xml:space="preserve">real </w:t>
      </w:r>
      <w:r w:rsidR="0087042C" w:rsidRPr="0087042C">
        <w:rPr>
          <w:rFonts w:asciiTheme="majorHAnsi" w:hAnsiTheme="majorHAnsi" w:cstheme="majorHAnsi"/>
          <w:b/>
          <w:bCs/>
        </w:rPr>
        <w:t>people</w:t>
      </w:r>
      <w:r w:rsidR="0087042C">
        <w:rPr>
          <w:rFonts w:asciiTheme="majorHAnsi" w:hAnsiTheme="majorHAnsi" w:cstheme="majorHAnsi"/>
          <w:b/>
          <w:bCs/>
        </w:rPr>
        <w:t>’</w:t>
      </w:r>
      <w:r w:rsidR="0087042C" w:rsidRPr="0087042C">
        <w:rPr>
          <w:rFonts w:asciiTheme="majorHAnsi" w:hAnsiTheme="majorHAnsi" w:cstheme="majorHAnsi"/>
          <w:b/>
          <w:bCs/>
        </w:rPr>
        <w:t>.</w:t>
      </w:r>
      <w:r w:rsidR="0087042C" w:rsidRPr="0087042C">
        <w:rPr>
          <w:rFonts w:asciiTheme="majorHAnsi" w:hAnsiTheme="majorHAnsi" w:cstheme="majorHAnsi"/>
          <w:b/>
          <w:bCs/>
        </w:rPr>
        <w:t xml:space="preserve">  Over the term, students develop a social identity, have increasingly purposeful communications, and build relationships.  This progression from personal to purposeful relationships increasingly focuses on group cohesion in online courses.  Designing and implementing a “social space” for interpersonal communication and collaboration can strengthen social presence for adult virtual learners.</w:t>
      </w:r>
    </w:p>
    <w:p w14:paraId="147225BB" w14:textId="77777777" w:rsidR="00913213" w:rsidRPr="00913213" w:rsidRDefault="00913213" w:rsidP="00913213">
      <w:pPr>
        <w:tabs>
          <w:tab w:val="left" w:pos="450"/>
        </w:tabs>
        <w:rPr>
          <w:rFonts w:asciiTheme="majorHAnsi" w:hAnsiTheme="majorHAnsi" w:cstheme="majorHAnsi"/>
          <w:b/>
          <w:bCs/>
        </w:rPr>
      </w:pPr>
    </w:p>
    <w:p w14:paraId="6DEBA619" w14:textId="77777777" w:rsidR="00913213" w:rsidRPr="00913213" w:rsidRDefault="00913213" w:rsidP="00913213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913213">
        <w:rPr>
          <w:rFonts w:asciiTheme="majorHAnsi" w:hAnsiTheme="majorHAnsi" w:cstheme="majorHAnsi"/>
        </w:rPr>
        <w:t>Have students post profiles or introductory videos with personal interests.</w:t>
      </w:r>
    </w:p>
    <w:p w14:paraId="044FFD07" w14:textId="77777777" w:rsidR="00913213" w:rsidRPr="00913213" w:rsidRDefault="00913213" w:rsidP="00913213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913213">
        <w:rPr>
          <w:rFonts w:asciiTheme="majorHAnsi" w:hAnsiTheme="majorHAnsi" w:cstheme="majorHAnsi"/>
        </w:rPr>
        <w:t>Set expectations for acceptable interactions and model behavior.</w:t>
      </w:r>
    </w:p>
    <w:p w14:paraId="0BAAB769" w14:textId="77777777" w:rsidR="00913213" w:rsidRPr="00913213" w:rsidRDefault="00913213" w:rsidP="00913213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913213">
        <w:rPr>
          <w:rFonts w:asciiTheme="majorHAnsi" w:hAnsiTheme="majorHAnsi" w:cstheme="majorHAnsi"/>
        </w:rPr>
        <w:t xml:space="preserve">Publish a guide to “netiquette” as part of the course materials. </w:t>
      </w:r>
    </w:p>
    <w:p w14:paraId="2F4ADDA9" w14:textId="77777777" w:rsidR="00913213" w:rsidRPr="00913213" w:rsidRDefault="00913213" w:rsidP="00913213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913213">
        <w:rPr>
          <w:rFonts w:asciiTheme="majorHAnsi" w:hAnsiTheme="majorHAnsi" w:cstheme="majorHAnsi"/>
        </w:rPr>
        <w:t>Encourage both peer-to-peer and peer-to-instructor connections.</w:t>
      </w:r>
    </w:p>
    <w:p w14:paraId="66265DCE" w14:textId="77777777" w:rsidR="00913213" w:rsidRPr="00913213" w:rsidRDefault="00913213" w:rsidP="00913213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913213">
        <w:rPr>
          <w:rFonts w:asciiTheme="majorHAnsi" w:hAnsiTheme="majorHAnsi" w:cstheme="majorHAnsi"/>
        </w:rPr>
        <w:t>Use short videos to introduce the course, different topics and tech how-to.</w:t>
      </w:r>
    </w:p>
    <w:p w14:paraId="68E997A0" w14:textId="77777777" w:rsidR="00913213" w:rsidRPr="00913213" w:rsidRDefault="00913213" w:rsidP="00913213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913213">
        <w:rPr>
          <w:rFonts w:asciiTheme="majorHAnsi" w:hAnsiTheme="majorHAnsi" w:cstheme="majorHAnsi"/>
        </w:rPr>
        <w:t>Use audio and video for feedback on student assignments.</w:t>
      </w:r>
    </w:p>
    <w:p w14:paraId="646AD5A0" w14:textId="77777777" w:rsidR="00913213" w:rsidRPr="00913213" w:rsidRDefault="00913213" w:rsidP="00913213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913213">
        <w:rPr>
          <w:rFonts w:asciiTheme="majorHAnsi" w:hAnsiTheme="majorHAnsi" w:cstheme="majorHAnsi"/>
        </w:rPr>
        <w:t>Make solo or small group scheduled office hour visits a graded assignment.</w:t>
      </w:r>
    </w:p>
    <w:p w14:paraId="719248AB" w14:textId="77777777" w:rsidR="00913213" w:rsidRPr="00913213" w:rsidRDefault="00913213" w:rsidP="00913213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913213">
        <w:rPr>
          <w:rFonts w:asciiTheme="majorHAnsi" w:hAnsiTheme="majorHAnsi" w:cstheme="majorHAnsi"/>
        </w:rPr>
        <w:t>Design discussion boards to maximize student interaction and leadership.</w:t>
      </w:r>
    </w:p>
    <w:p w14:paraId="13FAB765" w14:textId="77777777" w:rsidR="00913213" w:rsidRPr="00913213" w:rsidRDefault="00913213" w:rsidP="00913213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913213">
        <w:rPr>
          <w:rFonts w:asciiTheme="majorHAnsi" w:hAnsiTheme="majorHAnsi" w:cstheme="majorHAnsi"/>
        </w:rPr>
        <w:t>Have team-based, collaborative or problem-solving activities.</w:t>
      </w:r>
    </w:p>
    <w:p w14:paraId="145A4721" w14:textId="77777777" w:rsidR="00913213" w:rsidRDefault="00913213" w:rsidP="00913213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913213">
        <w:rPr>
          <w:rFonts w:asciiTheme="majorHAnsi" w:hAnsiTheme="majorHAnsi" w:cstheme="majorHAnsi"/>
        </w:rPr>
        <w:t>Develop peer-review assignments with clear rubrics for grading.</w:t>
      </w:r>
    </w:p>
    <w:p w14:paraId="48F193C9" w14:textId="77777777" w:rsidR="0087042C" w:rsidRDefault="0087042C" w:rsidP="0087042C">
      <w:pPr>
        <w:rPr>
          <w:rFonts w:asciiTheme="majorHAnsi" w:hAnsiTheme="majorHAnsi" w:cstheme="majorHAnsi"/>
        </w:rPr>
      </w:pPr>
    </w:p>
    <w:p w14:paraId="0428E365" w14:textId="656B51F5" w:rsidR="0087042C" w:rsidRDefault="00934240" w:rsidP="00934240">
      <w:pPr>
        <w:ind w:left="720" w:hanging="36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u w:val="single"/>
        </w:rPr>
        <w:t>Cognitive Presence</w:t>
      </w:r>
      <w:r w:rsidRPr="00934240">
        <w:rPr>
          <w:rFonts w:asciiTheme="majorHAnsi" w:hAnsiTheme="majorHAnsi" w:cstheme="majorHAnsi"/>
          <w:b/>
          <w:bCs/>
        </w:rPr>
        <w:t xml:space="preserve">: </w:t>
      </w:r>
      <w:r w:rsidRPr="00934240">
        <w:rPr>
          <w:rFonts w:asciiTheme="majorHAnsi" w:hAnsiTheme="majorHAnsi" w:cstheme="majorHAnsi"/>
          <w:b/>
          <w:bCs/>
        </w:rPr>
        <w:t xml:space="preserve">Cognitive presence is the extent to which learners can construct and confirm meaning through practical inquiry, sustained reflection and critical discourse in a community of </w:t>
      </w:r>
      <w:proofErr w:type="gramStart"/>
      <w:r w:rsidRPr="00934240">
        <w:rPr>
          <w:rFonts w:asciiTheme="majorHAnsi" w:hAnsiTheme="majorHAnsi" w:cstheme="majorHAnsi"/>
          <w:b/>
          <w:bCs/>
        </w:rPr>
        <w:t>inquiry</w:t>
      </w:r>
      <w:proofErr w:type="gramEnd"/>
      <w:r w:rsidRPr="00934240">
        <w:rPr>
          <w:rFonts w:asciiTheme="majorHAnsi" w:hAnsiTheme="majorHAnsi" w:cstheme="majorHAnsi"/>
          <w:b/>
          <w:bCs/>
        </w:rPr>
        <w:t>.</w:t>
      </w:r>
    </w:p>
    <w:p w14:paraId="383BB345" w14:textId="77777777" w:rsidR="00934240" w:rsidRPr="00934240" w:rsidRDefault="00934240" w:rsidP="00934240">
      <w:pPr>
        <w:ind w:left="720" w:hanging="360"/>
        <w:rPr>
          <w:rFonts w:asciiTheme="majorHAnsi" w:hAnsiTheme="majorHAnsi" w:cstheme="majorHAnsi"/>
          <w:b/>
          <w:bCs/>
        </w:rPr>
      </w:pPr>
    </w:p>
    <w:p w14:paraId="4399FD6A" w14:textId="77777777" w:rsidR="00934240" w:rsidRPr="00934240" w:rsidRDefault="00934240" w:rsidP="00934240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934240">
        <w:rPr>
          <w:rFonts w:asciiTheme="majorHAnsi" w:hAnsiTheme="majorHAnsi" w:cstheme="majorHAnsi"/>
        </w:rPr>
        <w:t>Clearly communicate to students what they will learn in class.</w:t>
      </w:r>
    </w:p>
    <w:p w14:paraId="059BB443" w14:textId="77777777" w:rsidR="00934240" w:rsidRPr="00934240" w:rsidRDefault="00934240" w:rsidP="00934240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934240">
        <w:rPr>
          <w:rFonts w:asciiTheme="majorHAnsi" w:hAnsiTheme="majorHAnsi" w:cstheme="majorHAnsi"/>
        </w:rPr>
        <w:t>Provide different content forms (print, video, audio) and a variety of assignments (solo, group, written, audio-visual, practical, reflective) to demonstrate learning.</w:t>
      </w:r>
    </w:p>
    <w:p w14:paraId="415F1F45" w14:textId="77777777" w:rsidR="00934240" w:rsidRPr="00934240" w:rsidRDefault="00934240" w:rsidP="00934240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934240">
        <w:rPr>
          <w:rFonts w:asciiTheme="majorHAnsi" w:hAnsiTheme="majorHAnsi" w:cstheme="majorHAnsi"/>
        </w:rPr>
        <w:t>Provide many low-stakes formative assessment opportunities.</w:t>
      </w:r>
    </w:p>
    <w:p w14:paraId="793F64FE" w14:textId="77777777" w:rsidR="00934240" w:rsidRPr="00934240" w:rsidRDefault="00934240" w:rsidP="00934240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934240">
        <w:rPr>
          <w:rFonts w:asciiTheme="majorHAnsi" w:hAnsiTheme="majorHAnsi" w:cstheme="majorHAnsi"/>
        </w:rPr>
        <w:t xml:space="preserve">Provide peer-review opportunities with clear rubrics for assessment. </w:t>
      </w:r>
    </w:p>
    <w:p w14:paraId="101256B1" w14:textId="77777777" w:rsidR="00934240" w:rsidRPr="00934240" w:rsidRDefault="00934240" w:rsidP="00934240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934240">
        <w:rPr>
          <w:rFonts w:asciiTheme="majorHAnsi" w:hAnsiTheme="majorHAnsi" w:cstheme="majorHAnsi"/>
        </w:rPr>
        <w:t>Connect current learning content to previous content/learning and potential future relevance.</w:t>
      </w:r>
    </w:p>
    <w:p w14:paraId="2A9485DD" w14:textId="77777777" w:rsidR="00934240" w:rsidRPr="00934240" w:rsidRDefault="00934240" w:rsidP="00934240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934240">
        <w:rPr>
          <w:rFonts w:asciiTheme="majorHAnsi" w:hAnsiTheme="majorHAnsi" w:cstheme="majorHAnsi"/>
        </w:rPr>
        <w:t>Encourage multiple perspectives and support diverse points of view in online discussions.</w:t>
      </w:r>
    </w:p>
    <w:p w14:paraId="1EE046A7" w14:textId="77777777" w:rsidR="00934240" w:rsidRPr="00934240" w:rsidRDefault="00934240" w:rsidP="00934240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934240">
        <w:rPr>
          <w:rFonts w:asciiTheme="majorHAnsi" w:hAnsiTheme="majorHAnsi" w:cstheme="majorHAnsi"/>
        </w:rPr>
        <w:t>Provide opportunities for group online brainstorming, such as designing concept maps together.</w:t>
      </w:r>
    </w:p>
    <w:p w14:paraId="1D034691" w14:textId="77777777" w:rsidR="00934240" w:rsidRPr="00934240" w:rsidRDefault="00934240" w:rsidP="00934240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934240">
        <w:rPr>
          <w:rFonts w:asciiTheme="majorHAnsi" w:hAnsiTheme="majorHAnsi" w:cstheme="majorHAnsi"/>
        </w:rPr>
        <w:t>Develop clear grading rubrics to indicate the quality of different answers and their scoring.</w:t>
      </w:r>
    </w:p>
    <w:p w14:paraId="21B6F09C" w14:textId="77777777" w:rsidR="00934240" w:rsidRPr="00934240" w:rsidRDefault="00934240" w:rsidP="00934240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934240">
        <w:rPr>
          <w:rFonts w:asciiTheme="majorHAnsi" w:hAnsiTheme="majorHAnsi" w:cstheme="majorHAnsi"/>
        </w:rPr>
        <w:t>Post examples of completed assignments.</w:t>
      </w:r>
    </w:p>
    <w:p w14:paraId="0239528A" w14:textId="77777777" w:rsidR="00934240" w:rsidRPr="00934240" w:rsidRDefault="00934240" w:rsidP="00934240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934240">
        <w:rPr>
          <w:rFonts w:asciiTheme="majorHAnsi" w:hAnsiTheme="majorHAnsi" w:cstheme="majorHAnsi"/>
        </w:rPr>
        <w:t>Have students create or find relevant materials and post them to the class as resources.</w:t>
      </w:r>
    </w:p>
    <w:p w14:paraId="1D5DEF83" w14:textId="6C201EA5" w:rsidR="00934240" w:rsidRPr="00934240" w:rsidRDefault="00934240" w:rsidP="00934240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934240">
        <w:rPr>
          <w:rFonts w:asciiTheme="majorHAnsi" w:hAnsiTheme="majorHAnsi" w:cstheme="majorHAnsi"/>
        </w:rPr>
        <w:t>Provide frequent opportunities for feedback and testing.</w:t>
      </w:r>
    </w:p>
    <w:p w14:paraId="66DEB9B4" w14:textId="77777777" w:rsidR="0087042C" w:rsidRDefault="0087042C" w:rsidP="0087042C">
      <w:pPr>
        <w:rPr>
          <w:rFonts w:asciiTheme="majorHAnsi" w:hAnsiTheme="majorHAnsi" w:cstheme="majorHAnsi"/>
        </w:rPr>
      </w:pPr>
    </w:p>
    <w:p w14:paraId="2127997F" w14:textId="6933813A" w:rsidR="0087042C" w:rsidRDefault="00934240" w:rsidP="0087042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lastRenderedPageBreak/>
        <w:drawing>
          <wp:inline distT="0" distB="0" distL="0" distR="0" wp14:anchorId="65A75DAB" wp14:editId="36ED69FA">
            <wp:extent cx="5880722" cy="4362450"/>
            <wp:effectExtent l="0" t="0" r="6350" b="0"/>
            <wp:docPr id="1047851041" name="Picture 1" descr="A diagram of experienc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851041" name="Picture 1" descr="A diagram of experience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487" cy="44542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0E33F2" w14:textId="77777777" w:rsidR="0087042C" w:rsidRDefault="0087042C" w:rsidP="0087042C">
      <w:pPr>
        <w:rPr>
          <w:rFonts w:asciiTheme="majorHAnsi" w:hAnsiTheme="majorHAnsi" w:cstheme="majorHAnsi"/>
        </w:rPr>
      </w:pPr>
    </w:p>
    <w:p w14:paraId="08484966" w14:textId="77777777" w:rsidR="0087042C" w:rsidRDefault="0087042C" w:rsidP="0087042C">
      <w:pPr>
        <w:rPr>
          <w:rFonts w:asciiTheme="majorHAnsi" w:hAnsiTheme="majorHAnsi" w:cstheme="majorHAnsi"/>
        </w:rPr>
      </w:pPr>
    </w:p>
    <w:p w14:paraId="7262842D" w14:textId="77777777" w:rsidR="0087042C" w:rsidRDefault="0087042C" w:rsidP="0087042C">
      <w:pPr>
        <w:rPr>
          <w:rFonts w:asciiTheme="majorHAnsi" w:hAnsiTheme="majorHAnsi" w:cstheme="majorHAnsi"/>
        </w:rPr>
      </w:pPr>
    </w:p>
    <w:p w14:paraId="66EAD5FC" w14:textId="6C3D6A50" w:rsidR="0087042C" w:rsidRDefault="00934240" w:rsidP="0087042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02969D9D" wp14:editId="34736ECC">
            <wp:extent cx="5754403" cy="3238500"/>
            <wp:effectExtent l="0" t="0" r="0" b="0"/>
            <wp:docPr id="944227525" name="Picture 2" descr="A table of informational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227525" name="Picture 2" descr="A table of informational tex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888" cy="326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8E3532" w14:textId="7C4BA653" w:rsidR="0087042C" w:rsidRDefault="00934240" w:rsidP="0087042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lastRenderedPageBreak/>
        <w:drawing>
          <wp:inline distT="0" distB="0" distL="0" distR="0" wp14:anchorId="447FC41A" wp14:editId="00ED540E">
            <wp:extent cx="5740400" cy="3027202"/>
            <wp:effectExtent l="0" t="0" r="0" b="1905"/>
            <wp:docPr id="1342039840" name="Picture 3" descr="A table of informational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039840" name="Picture 3" descr="A table of informational tex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874" cy="30501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7AC1DB" w14:textId="77777777" w:rsidR="0087042C" w:rsidRPr="0087042C" w:rsidRDefault="0087042C" w:rsidP="0087042C">
      <w:pPr>
        <w:rPr>
          <w:rFonts w:asciiTheme="majorHAnsi" w:hAnsiTheme="majorHAnsi" w:cstheme="majorHAnsi"/>
        </w:rPr>
      </w:pPr>
    </w:p>
    <w:p w14:paraId="4D076822" w14:textId="77777777" w:rsidR="00913213" w:rsidRPr="00913213" w:rsidRDefault="00913213" w:rsidP="00913213">
      <w:pPr>
        <w:rPr>
          <w:rFonts w:asciiTheme="majorHAnsi" w:hAnsiTheme="majorHAnsi" w:cstheme="majorHAnsi"/>
        </w:rPr>
      </w:pPr>
    </w:p>
    <w:p w14:paraId="050DBDED" w14:textId="7DC9E16B" w:rsidR="0064612F" w:rsidRDefault="0064612F">
      <w:pPr>
        <w:rPr>
          <w:rFonts w:asciiTheme="majorHAnsi" w:hAnsiTheme="majorHAnsi" w:cstheme="majorHAnsi"/>
        </w:rPr>
      </w:pPr>
      <w:r w:rsidRPr="0064612F">
        <w:rPr>
          <w:rFonts w:asciiTheme="majorHAnsi" w:hAnsiTheme="majorHAnsi" w:cstheme="majorHAnsi"/>
          <w:u w:val="single"/>
        </w:rPr>
        <w:t>Sources</w:t>
      </w:r>
      <w:r>
        <w:rPr>
          <w:rFonts w:asciiTheme="majorHAnsi" w:hAnsiTheme="majorHAnsi" w:cstheme="majorHAnsi"/>
        </w:rPr>
        <w:t>:</w:t>
      </w:r>
    </w:p>
    <w:p w14:paraId="08855ECA" w14:textId="1ADC4C27" w:rsidR="00913213" w:rsidRDefault="0087042C">
      <w:pPr>
        <w:rPr>
          <w:rFonts w:asciiTheme="majorHAnsi" w:hAnsiTheme="majorHAnsi" w:cstheme="majorHAnsi"/>
        </w:rPr>
      </w:pPr>
      <w:r w:rsidRPr="0087042C">
        <w:rPr>
          <w:rFonts w:asciiTheme="majorHAnsi" w:hAnsiTheme="majorHAnsi" w:cstheme="majorHAnsi"/>
        </w:rPr>
        <w:t xml:space="preserve">Anderson, T., Rourke, L., Garrison, D. R., Archer, W. Assessing Teaching </w:t>
      </w:r>
      <w:r w:rsidR="0064612F" w:rsidRPr="0087042C">
        <w:rPr>
          <w:rFonts w:asciiTheme="majorHAnsi" w:hAnsiTheme="majorHAnsi" w:cstheme="majorHAnsi"/>
        </w:rPr>
        <w:t>Presence</w:t>
      </w:r>
      <w:r w:rsidRPr="0087042C">
        <w:rPr>
          <w:rFonts w:asciiTheme="majorHAnsi" w:hAnsiTheme="majorHAnsi" w:cstheme="majorHAnsi"/>
        </w:rPr>
        <w:t xml:space="preserve"> in a Computer Conference Environment. Journal of asynchronous learning networks, </w:t>
      </w:r>
      <w:r w:rsidR="0064612F">
        <w:rPr>
          <w:rFonts w:asciiTheme="majorHAnsi" w:hAnsiTheme="majorHAnsi" w:cstheme="majorHAnsi"/>
        </w:rPr>
        <w:t xml:space="preserve">2001; </w:t>
      </w:r>
      <w:r w:rsidRPr="0087042C">
        <w:rPr>
          <w:rFonts w:asciiTheme="majorHAnsi" w:hAnsiTheme="majorHAnsi" w:cstheme="majorHAnsi"/>
        </w:rPr>
        <w:t>5(2), 1-17</w:t>
      </w:r>
    </w:p>
    <w:p w14:paraId="59D93157" w14:textId="77777777" w:rsidR="0087042C" w:rsidRDefault="0087042C">
      <w:pPr>
        <w:rPr>
          <w:rFonts w:asciiTheme="majorHAnsi" w:hAnsiTheme="majorHAnsi" w:cstheme="majorHAnsi"/>
        </w:rPr>
      </w:pPr>
    </w:p>
    <w:p w14:paraId="217AB7F0" w14:textId="77777777" w:rsidR="0087042C" w:rsidRDefault="0087042C" w:rsidP="0087042C">
      <w:pPr>
        <w:rPr>
          <w:rFonts w:asciiTheme="majorHAnsi" w:hAnsiTheme="majorHAnsi" w:cstheme="majorHAnsi"/>
        </w:rPr>
      </w:pPr>
      <w:r w:rsidRPr="0087042C">
        <w:rPr>
          <w:rFonts w:asciiTheme="majorHAnsi" w:hAnsiTheme="majorHAnsi" w:cstheme="majorHAnsi"/>
        </w:rPr>
        <w:t>Garrison, D. R. Online Community of Inquiry Review: Social, Cognitive, and Teaching Presence Issues. Journal of Asynchronous Learning Networks. 2007; 11(1):61-72.</w:t>
      </w:r>
    </w:p>
    <w:p w14:paraId="4248C2E7" w14:textId="77777777" w:rsidR="0064612F" w:rsidRDefault="0064612F" w:rsidP="0087042C">
      <w:pPr>
        <w:rPr>
          <w:rFonts w:asciiTheme="majorHAnsi" w:hAnsiTheme="majorHAnsi" w:cstheme="majorHAnsi"/>
        </w:rPr>
      </w:pPr>
    </w:p>
    <w:p w14:paraId="085266CE" w14:textId="136FE19B" w:rsidR="0064612F" w:rsidRDefault="0064612F" w:rsidP="0087042C">
      <w:pPr>
        <w:rPr>
          <w:rFonts w:asciiTheme="majorHAnsi" w:hAnsiTheme="majorHAnsi" w:cstheme="majorHAnsi"/>
        </w:rPr>
      </w:pPr>
      <w:r w:rsidRPr="0064612F">
        <w:rPr>
          <w:rFonts w:asciiTheme="majorHAnsi" w:hAnsiTheme="majorHAnsi" w:cstheme="majorHAnsi"/>
        </w:rPr>
        <w:t xml:space="preserve">Garrison, D. &amp; Arbaugh, </w:t>
      </w:r>
      <w:proofErr w:type="gramStart"/>
      <w:r w:rsidRPr="0064612F">
        <w:rPr>
          <w:rFonts w:asciiTheme="majorHAnsi" w:hAnsiTheme="majorHAnsi" w:cstheme="majorHAnsi"/>
        </w:rPr>
        <w:t>J.B..</w:t>
      </w:r>
      <w:proofErr w:type="gramEnd"/>
      <w:r w:rsidRPr="0064612F">
        <w:rPr>
          <w:rFonts w:asciiTheme="majorHAnsi" w:hAnsiTheme="majorHAnsi" w:cstheme="majorHAnsi"/>
        </w:rPr>
        <w:t xml:space="preserve"> (2007). Researching the community of inquiry framework: Review, issues, and future directions. Internet and Higher Education</w:t>
      </w:r>
      <w:r>
        <w:rPr>
          <w:rFonts w:asciiTheme="majorHAnsi" w:hAnsiTheme="majorHAnsi" w:cstheme="majorHAnsi"/>
        </w:rPr>
        <w:t xml:space="preserve">.  2007; </w:t>
      </w:r>
      <w:r w:rsidRPr="0064612F">
        <w:rPr>
          <w:rFonts w:asciiTheme="majorHAnsi" w:hAnsiTheme="majorHAnsi" w:cstheme="majorHAnsi"/>
        </w:rPr>
        <w:t>10. 157-172.</w:t>
      </w:r>
    </w:p>
    <w:p w14:paraId="7D2B1D49" w14:textId="77777777" w:rsidR="0087042C" w:rsidRPr="0087042C" w:rsidRDefault="0087042C" w:rsidP="0087042C">
      <w:pPr>
        <w:rPr>
          <w:rFonts w:asciiTheme="majorHAnsi" w:hAnsiTheme="majorHAnsi" w:cstheme="majorHAnsi"/>
        </w:rPr>
      </w:pPr>
    </w:p>
    <w:p w14:paraId="40BD8223" w14:textId="10623F79" w:rsidR="0087042C" w:rsidRPr="002371AA" w:rsidRDefault="0087042C" w:rsidP="0087042C">
      <w:pPr>
        <w:rPr>
          <w:rFonts w:asciiTheme="majorHAnsi" w:hAnsiTheme="majorHAnsi" w:cstheme="majorHAnsi"/>
        </w:rPr>
      </w:pPr>
      <w:proofErr w:type="spellStart"/>
      <w:r w:rsidRPr="0087042C">
        <w:rPr>
          <w:rFonts w:asciiTheme="majorHAnsi" w:hAnsiTheme="majorHAnsi" w:cstheme="majorHAnsi"/>
        </w:rPr>
        <w:t>Kreijns</w:t>
      </w:r>
      <w:proofErr w:type="spellEnd"/>
      <w:r w:rsidRPr="0087042C">
        <w:rPr>
          <w:rFonts w:asciiTheme="majorHAnsi" w:hAnsiTheme="majorHAnsi" w:cstheme="majorHAnsi"/>
        </w:rPr>
        <w:t xml:space="preserve"> K, Van Acker F, Vermeulen M, Van Buuren H. Community of Inquiry: Social Presence Revisited. E-Learning and Digital Media. 2014;</w:t>
      </w:r>
      <w:r w:rsidR="0064612F">
        <w:rPr>
          <w:rFonts w:asciiTheme="majorHAnsi" w:hAnsiTheme="majorHAnsi" w:cstheme="majorHAnsi"/>
        </w:rPr>
        <w:t xml:space="preserve"> </w:t>
      </w:r>
      <w:r w:rsidRPr="0087042C">
        <w:rPr>
          <w:rFonts w:asciiTheme="majorHAnsi" w:hAnsiTheme="majorHAnsi" w:cstheme="majorHAnsi"/>
        </w:rPr>
        <w:t>11(1):5-18.</w:t>
      </w:r>
    </w:p>
    <w:sectPr w:rsidR="0087042C" w:rsidRPr="002371AA" w:rsidSect="005A1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CE72D9"/>
    <w:multiLevelType w:val="hybridMultilevel"/>
    <w:tmpl w:val="02A83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798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444"/>
    <w:rsid w:val="00013E86"/>
    <w:rsid w:val="002371AA"/>
    <w:rsid w:val="002F59A6"/>
    <w:rsid w:val="00471EDB"/>
    <w:rsid w:val="00532A40"/>
    <w:rsid w:val="005A16B7"/>
    <w:rsid w:val="0064612F"/>
    <w:rsid w:val="006D17F7"/>
    <w:rsid w:val="007611AA"/>
    <w:rsid w:val="0087042C"/>
    <w:rsid w:val="00913213"/>
    <w:rsid w:val="00934240"/>
    <w:rsid w:val="009815EF"/>
    <w:rsid w:val="00CA1444"/>
    <w:rsid w:val="00CE4810"/>
    <w:rsid w:val="00F8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61E25"/>
  <w15:chartTrackingRefBased/>
  <w15:docId w15:val="{6A0BFFB0-DBAF-774B-A1B0-AACE6FBF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1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A1444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normaltextrun">
    <w:name w:val="normaltextrun"/>
    <w:basedOn w:val="DefaultParagraphFont"/>
    <w:rsid w:val="00CA1444"/>
  </w:style>
  <w:style w:type="character" w:customStyle="1" w:styleId="eop">
    <w:name w:val="eop"/>
    <w:basedOn w:val="DefaultParagraphFont"/>
    <w:rsid w:val="00CA1444"/>
  </w:style>
  <w:style w:type="character" w:customStyle="1" w:styleId="Heading1Char">
    <w:name w:val="Heading 1 Char"/>
    <w:basedOn w:val="DefaultParagraphFont"/>
    <w:link w:val="Heading1"/>
    <w:uiPriority w:val="9"/>
    <w:rsid w:val="00237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371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17F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7F7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132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9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26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8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63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5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9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2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0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2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77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1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25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5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8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4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04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7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0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5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1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47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54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3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2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74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96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1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9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8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Siesing</dc:creator>
  <cp:keywords/>
  <dc:description/>
  <cp:lastModifiedBy>Christine Boyland</cp:lastModifiedBy>
  <cp:revision>5</cp:revision>
  <dcterms:created xsi:type="dcterms:W3CDTF">2025-08-05T15:30:00Z</dcterms:created>
  <dcterms:modified xsi:type="dcterms:W3CDTF">2025-08-05T15:50:00Z</dcterms:modified>
</cp:coreProperties>
</file>