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A031" w14:textId="77777777" w:rsidR="00820BA7" w:rsidRPr="00820BA7" w:rsidRDefault="00820BA7" w:rsidP="00820BA7">
      <w:pPr>
        <w:rPr>
          <w:b/>
          <w:bCs/>
        </w:rPr>
      </w:pPr>
      <w:r w:rsidRPr="00820BA7">
        <w:rPr>
          <w:b/>
          <w:bCs/>
        </w:rPr>
        <w:t>120 W. Fayette St., LLLP v. Mayor of Baltimore, 426 Md. 14, 18-22 (Md. April 27, 2012)</w:t>
      </w:r>
    </w:p>
    <w:p w14:paraId="642CDE70" w14:textId="77777777" w:rsidR="00820BA7" w:rsidRPr="00820BA7" w:rsidRDefault="00820BA7" w:rsidP="00820BA7">
      <w:pPr>
        <w:rPr>
          <w:b/>
          <w:bCs/>
        </w:rPr>
      </w:pPr>
    </w:p>
    <w:p w14:paraId="222B3F83" w14:textId="24B8B6B5"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During its 2000 legislative session, the General Assembly appropriated $11.5 million dollars to the Maryland Stadium Authority to rebuild the Hippodrome Performing Arts Center, an historic theater centrally located within the westside development area.  (FY 2001 Budget Appropriation). The appropriation came with the condition that $1 million of the expenditure hinged on "the City of Baltimore and the Maryland Historical Trust . . . reach[ing] [an] agreement on how to minimize the demolition of structures which contribute to the Market Center National Register Historic District." </w:t>
      </w:r>
      <w:r w:rsidRPr="00820BA7">
        <w:rPr>
          <w:rFonts w:ascii="inherit" w:eastAsia="Times New Roman" w:hAnsi="inherit" w:cs="Times New Roman"/>
          <w:i/>
          <w:iCs/>
          <w:color w:val="000000"/>
          <w:kern w:val="0"/>
          <w:bdr w:val="none" w:sz="0" w:space="0" w:color="auto" w:frame="1"/>
          <w14:ligatures w14:val="none"/>
        </w:rPr>
        <w:t>Id</w:t>
      </w:r>
      <w:r w:rsidRPr="00820BA7">
        <w:rPr>
          <w:rFonts w:ascii="Times New Roman" w:eastAsia="Times New Roman" w:hAnsi="Times New Roman" w:cs="Times New Roman"/>
          <w:color w:val="000000"/>
          <w:kern w:val="0"/>
          <w14:ligatures w14:val="none"/>
        </w:rPr>
        <w:t>.</w:t>
      </w:r>
    </w:p>
    <w:p w14:paraId="3D6B3DF6" w14:textId="77777777" w:rsid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70303C8F" w14:textId="45BB8DEB" w:rsid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In addition to the requirements of the FY 2001 Budget Appropriation, Maryland law</w:t>
      </w:r>
      <w:bookmarkStart w:id="0" w:name="footnoterefdef"/>
      <w:r w:rsidRPr="00820BA7">
        <w:rPr>
          <w:rFonts w:ascii="Times New Roman" w:eastAsia="Times New Roman" w:hAnsi="Times New Roman" w:cs="Times New Roman"/>
          <w:color w:val="000000"/>
          <w:kern w:val="0"/>
          <w14:ligatures w14:val="none"/>
        </w:rPr>
        <w:t> requires the Director of the  Trust,  and federal law</w:t>
      </w:r>
      <w:r>
        <w:rPr>
          <w:rFonts w:ascii="inherit" w:eastAsia="Times New Roman" w:hAnsi="inherit" w:cs="Times New Roman"/>
          <w:b/>
          <w:bCs/>
          <w:color w:val="000000"/>
          <w:kern w:val="0"/>
          <w:bdr w:val="none" w:sz="0" w:space="0" w:color="auto" w:frame="1"/>
          <w:shd w:val="clear" w:color="auto" w:fill="FFFFFF"/>
          <w14:ligatures w14:val="none"/>
        </w:rPr>
        <w:t xml:space="preserve"> </w:t>
      </w:r>
      <w:r w:rsidRPr="00820BA7">
        <w:rPr>
          <w:rFonts w:ascii="Times New Roman" w:eastAsia="Times New Roman" w:hAnsi="Times New Roman" w:cs="Times New Roman"/>
          <w:color w:val="000000"/>
          <w:kern w:val="0"/>
          <w14:ligatures w14:val="none"/>
        </w:rPr>
        <w:t xml:space="preserve">requires the State Historic Preservation Officer (SHPO), to determine whether proposed capital projects would adversely affect any property listed in or eligible to be listed in the Maryland Register of Historic Properties or the National Register of Historic Places. Typically in Maryland, a memorandum of agreement </w:t>
      </w:r>
      <w:r w:rsidR="00F57146">
        <w:rPr>
          <w:rFonts w:ascii="Times New Roman" w:eastAsia="Times New Roman" w:hAnsi="Times New Roman" w:cs="Times New Roman"/>
          <w:color w:val="000000"/>
          <w:kern w:val="0"/>
          <w14:ligatures w14:val="none"/>
        </w:rPr>
        <w:t xml:space="preserve">(MOA) </w:t>
      </w:r>
      <w:r w:rsidRPr="00820BA7">
        <w:rPr>
          <w:rFonts w:ascii="Times New Roman" w:eastAsia="Times New Roman" w:hAnsi="Times New Roman" w:cs="Times New Roman"/>
          <w:color w:val="000000"/>
          <w:kern w:val="0"/>
          <w14:ligatures w14:val="none"/>
        </w:rPr>
        <w:t>constitutes an agreement between a governmental entity and the Trust that the project may proceed on condition that certain stated steps are taken by the State or local government to avoid, mitigate, or satisfactorily reduce any adverse effects on identified historic properties.</w:t>
      </w:r>
    </w:p>
    <w:p w14:paraId="321A6882" w14:textId="77777777"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5902E18" w14:textId="30B63DED" w:rsidR="00820BA7" w:rsidRDefault="00820BA7" w:rsidP="00820BA7">
      <w:pPr>
        <w:shd w:val="clear" w:color="auto" w:fill="FFFFFF"/>
        <w:spacing w:after="0" w:line="240" w:lineRule="auto"/>
        <w:textAlignment w:val="baseline"/>
        <w:rPr>
          <w:rFonts w:ascii="inherit" w:eastAsia="Times New Roman" w:hAnsi="inherit" w:cs="Times New Roman"/>
          <w:b/>
          <w:bCs/>
          <w:color w:val="000000"/>
          <w:kern w:val="0"/>
          <w:bdr w:val="none" w:sz="0" w:space="0" w:color="auto" w:frame="1"/>
          <w:shd w:val="clear" w:color="auto" w:fill="FFFFFF"/>
          <w14:ligatures w14:val="none"/>
        </w:rPr>
      </w:pPr>
      <w:r w:rsidRPr="00820BA7">
        <w:rPr>
          <w:rFonts w:ascii="Times New Roman" w:eastAsia="Times New Roman" w:hAnsi="Times New Roman" w:cs="Times New Roman"/>
          <w:color w:val="000000"/>
          <w:kern w:val="0"/>
          <w14:ligatures w14:val="none"/>
        </w:rPr>
        <w:t>On January 31, 2001, the City and the Trust entered into such an agreement, memorialized in the MOA. Then-Mayor Martin O'Malley signed the MOA on behalf of the City, and Mr. Little, as Director of the Trust and with the authority to enter into such agreements delegated to him by the Board of Directors of the Trust, signed the MOA on behalf of the Trust.</w:t>
      </w:r>
    </w:p>
    <w:p w14:paraId="743FB2EC" w14:textId="77777777"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744F0D1" w14:textId="6B370432" w:rsid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The MOA, characterizing as "the Project" the City's undertaking to redevelop the westside of downtown Baltimore, </w:t>
      </w:r>
      <w:r w:rsidRPr="00820BA7">
        <w:rPr>
          <w:rFonts w:ascii="inherit" w:eastAsia="Times New Roman" w:hAnsi="inherit" w:cs="Times New Roman"/>
          <w:i/>
          <w:iCs/>
          <w:color w:val="000000"/>
          <w:kern w:val="0"/>
          <w:bdr w:val="none" w:sz="0" w:space="0" w:color="auto" w:frame="1"/>
          <w14:ligatures w14:val="none"/>
        </w:rPr>
        <w:t>i.e</w:t>
      </w:r>
      <w:r w:rsidRPr="00820BA7">
        <w:rPr>
          <w:rFonts w:ascii="Times New Roman" w:eastAsia="Times New Roman" w:hAnsi="Times New Roman" w:cs="Times New Roman"/>
          <w:color w:val="000000"/>
          <w:kern w:val="0"/>
          <w14:ligatures w14:val="none"/>
        </w:rPr>
        <w:t xml:space="preserve">., the Urban Renewal Plan, states that the Project "will </w:t>
      </w:r>
      <w:r w:rsidR="00F57146" w:rsidRPr="00820BA7">
        <w:rPr>
          <w:rFonts w:ascii="Times New Roman" w:eastAsia="Times New Roman" w:hAnsi="Times New Roman" w:cs="Times New Roman"/>
          <w:color w:val="000000"/>
          <w:kern w:val="0"/>
          <w14:ligatures w14:val="none"/>
        </w:rPr>
        <w:t>include significant</w:t>
      </w:r>
      <w:r w:rsidRPr="00820BA7">
        <w:rPr>
          <w:rFonts w:ascii="Times New Roman" w:eastAsia="Times New Roman" w:hAnsi="Times New Roman" w:cs="Times New Roman"/>
          <w:color w:val="000000"/>
          <w:kern w:val="0"/>
          <w14:ligatures w14:val="none"/>
        </w:rPr>
        <w:t xml:space="preserve"> rehabilitation of existing buildings as well as demolition and new construction." Moreover, "in consultation with the Trust, the City acknowledges that the Project may have adverse effects on properties within the Market Center Historic District, which is listed in the Maryland Register of Historic Properties and the National Register of Historic Places." The MOA further states that, "in accordance with [the relevant State law provisions], the City and the Trust have consulted to determine means of avoiding, mitigating or satisfactorily reducing the adverse effects of the Project on historic properties." </w:t>
      </w:r>
    </w:p>
    <w:p w14:paraId="777D0023" w14:textId="77777777" w:rsidR="00BE64AE" w:rsidRPr="00820BA7" w:rsidRDefault="00BE64AE"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2931EC2" w14:textId="77777777" w:rsidR="00BE64AE"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 xml:space="preserve">The MOA includes the agreement of the City and the Trust that "the Project will be implemented in accordance with the following stipulations in order to take into account the effects of the Project on historic properties."    Among those stipulations is that the City "will prepare a strategic plan for the Project" that designates "those contributing historic buildings which the City and the Trust agree are worthy of preservation and those buildings which may be demolished without further consultation between the City and the Trust." The MOA further provides that "[t]he strategic plan will be submitted for the review and comment of the [Market Center Project Area Committee], and the review and approval of the Trust, which approval shall not be unreasonably delayed or withheld." Then, "[u]pon approval by the Trust, the City will pursue amendment of the Urban Renewal Plan to incorporate the approved strategic plan." </w:t>
      </w:r>
    </w:p>
    <w:p w14:paraId="7AD727D6" w14:textId="7C05B8E5" w:rsid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lastRenderedPageBreak/>
        <w:t>The MOA details both the approval process by the Trust as well as the City and the Trust's respective obligations in connection thereto. Finally, the MOA provides: "The execution of the MOA and the implementation of its terms evidences that the City has afforded the Trust an opportunity to comment on the Project and its effects on historic properties, and that the City and the Trust have taken into account the effects of the Project on historic properties."</w:t>
      </w:r>
    </w:p>
    <w:p w14:paraId="313EC193" w14:textId="77777777" w:rsidR="00BE64AE" w:rsidRPr="00820BA7" w:rsidRDefault="00BE64AE"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2B203980" w14:textId="6B9620D5"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bdr w:val="none" w:sz="0" w:space="0" w:color="auto" w:frame="1"/>
          <w14:ligatures w14:val="none"/>
        </w:rPr>
        <w:t xml:space="preserve">The strategic plan contemplated by the MOA was developed in February 2001, within days of the signing of the January 2001 MOA. Over the years that followed, Mr. Little, in his capacity as Director of the Trust and as SHPO, and Jay Brodie, President of the </w:t>
      </w:r>
      <w:r w:rsidR="00BE64AE">
        <w:rPr>
          <w:rFonts w:ascii="Times New Roman" w:eastAsia="Times New Roman" w:hAnsi="Times New Roman" w:cs="Times New Roman"/>
          <w:color w:val="000000"/>
          <w:kern w:val="0"/>
          <w:bdr w:val="none" w:sz="0" w:space="0" w:color="auto" w:frame="1"/>
          <w14:ligatures w14:val="none"/>
        </w:rPr>
        <w:t xml:space="preserve">[Baltimore Development Corporation] </w:t>
      </w:r>
      <w:r w:rsidRPr="00820BA7">
        <w:rPr>
          <w:rFonts w:ascii="Times New Roman" w:eastAsia="Times New Roman" w:hAnsi="Times New Roman" w:cs="Times New Roman"/>
          <w:color w:val="000000"/>
          <w:kern w:val="0"/>
          <w:bdr w:val="none" w:sz="0" w:space="0" w:color="auto" w:frame="1"/>
          <w14:ligatures w14:val="none"/>
        </w:rPr>
        <w:t>BDC, corresponded through a series of letters regarding plans submitted by the City for the proposed Superblock development. On October 29, 2010, Lexington Square</w:t>
      </w:r>
      <w:r w:rsidR="00BE64AE">
        <w:rPr>
          <w:rFonts w:ascii="Times New Roman" w:eastAsia="Times New Roman" w:hAnsi="Times New Roman" w:cs="Times New Roman"/>
          <w:color w:val="000000"/>
          <w:kern w:val="0"/>
          <w:bdr w:val="none" w:sz="0" w:space="0" w:color="auto" w:frame="1"/>
          <w14:ligatures w14:val="none"/>
        </w:rPr>
        <w:t xml:space="preserve"> [Developer]</w:t>
      </w:r>
      <w:r w:rsidRPr="00820BA7">
        <w:rPr>
          <w:rFonts w:ascii="Times New Roman" w:eastAsia="Times New Roman" w:hAnsi="Times New Roman" w:cs="Times New Roman"/>
          <w:color w:val="000000"/>
          <w:kern w:val="0"/>
          <w:bdr w:val="none" w:sz="0" w:space="0" w:color="auto" w:frame="1"/>
          <w14:ligatures w14:val="none"/>
        </w:rPr>
        <w:t>, through the City, submitted to the Trust, for its review pursuant to the MOA, a development plan for the Superblock. The development plan called for the complete demolition of nine buildings and partial demolition of five buildings designated for preservation by the strategic plan.</w:t>
      </w:r>
    </w:p>
    <w:p w14:paraId="7146AE1C" w14:textId="77777777" w:rsidR="00BE64AE" w:rsidRDefault="00BE64AE"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E4AA79D" w14:textId="38A8DF7C"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By letter dated December 22, 2010, Mr. Little granted conditional approval of the proposed development plan.</w:t>
      </w:r>
      <w:bookmarkEnd w:id="0"/>
      <w:r w:rsidRPr="00820BA7">
        <w:rPr>
          <w:rFonts w:ascii="Times New Roman" w:eastAsia="Times New Roman" w:hAnsi="Times New Roman" w:cs="Times New Roman"/>
          <w:color w:val="000000"/>
          <w:kern w:val="0"/>
          <w14:ligatures w14:val="none"/>
        </w:rPr>
        <w:t> In that letter, Mr. Little, noting that the development plan contained "substantial adverse effects on historic resources," intimated that the development plan was approved because it was the product of Lexington Square's "non-negotiable business model for redevelopment of the Superblock," and the proposed plan had consistently  enjoyed the City's support as "the preferred retail strategy for [the Superblock]." On December 30, 2010, the City and Lexington Square accepted the conditions stated in the December 22, 2010 approval letter.</w:t>
      </w:r>
    </w:p>
    <w:p w14:paraId="6FD1EFDA" w14:textId="77777777" w:rsidR="00BE64AE" w:rsidRDefault="00BE64AE"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10CE9C8" w14:textId="5B0F6FCD" w:rsidR="00820BA7" w:rsidRPr="00820BA7" w:rsidRDefault="00820BA7" w:rsidP="00820BA7">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t>Sometime in January 2011, the Trust learned of Mr. Little's conditional approval of Lexington Square's development plan. Disagreeing with Mr. Little's disposition of the matter, the Trust voted to ask Mr. Little to rescind his approval. When Mr. Little declined, the Trust transmitted a letter to the Mayor of Baltimore to convey its "serious reservations" about the development plan for the Superblock.  </w:t>
      </w:r>
      <w:r w:rsidR="00BE64AE" w:rsidRPr="00820BA7">
        <w:rPr>
          <w:rFonts w:ascii="Times New Roman" w:eastAsia="Times New Roman" w:hAnsi="Times New Roman" w:cs="Times New Roman"/>
          <w:color w:val="000000"/>
          <w:kern w:val="0"/>
          <w14:ligatures w14:val="none"/>
        </w:rPr>
        <w:t xml:space="preserve"> </w:t>
      </w:r>
      <w:r w:rsidRPr="00820BA7">
        <w:rPr>
          <w:rFonts w:ascii="Times New Roman" w:eastAsia="Times New Roman" w:hAnsi="Times New Roman" w:cs="Times New Roman"/>
          <w:color w:val="000000"/>
          <w:kern w:val="0"/>
          <w14:ligatures w14:val="none"/>
        </w:rPr>
        <w:t>The Trust also contacted counsel in the Office of the Attorney General for advice on the legal viability of challenging Mr. Little's approval. Of relevance here, the Trust took no further action, legal or otherwise, to challenge Mr. Little's conditional approval.</w:t>
      </w:r>
    </w:p>
    <w:p w14:paraId="3BD1705E" w14:textId="6A34D952" w:rsidR="004F2C67" w:rsidRPr="004F2C67" w:rsidRDefault="00820BA7" w:rsidP="004F2C67">
      <w:pPr>
        <w:rPr>
          <w:rFonts w:ascii="Times New Roman" w:eastAsia="Times New Roman" w:hAnsi="Times New Roman" w:cs="Times New Roman"/>
          <w:color w:val="000000"/>
          <w:kern w:val="0"/>
          <w14:ligatures w14:val="none"/>
        </w:rPr>
      </w:pPr>
      <w:r w:rsidRPr="00820BA7">
        <w:rPr>
          <w:rFonts w:ascii="Times New Roman" w:eastAsia="Times New Roman" w:hAnsi="Times New Roman" w:cs="Times New Roman"/>
          <w:color w:val="000000"/>
          <w:kern w:val="0"/>
          <w14:ligatures w14:val="none"/>
        </w:rPr>
        <w:br/>
      </w:r>
      <w:r w:rsidR="004F2C67" w:rsidRPr="004F2C67">
        <w:rPr>
          <w:rFonts w:ascii="Times New Roman" w:eastAsia="Times New Roman" w:hAnsi="Times New Roman" w:cs="Times New Roman"/>
          <w:color w:val="000000"/>
          <w:kern w:val="0"/>
          <w14:ligatures w14:val="none"/>
        </w:rPr>
        <w:t>On April 19, 2011, 120 West Fayette</w:t>
      </w:r>
      <w:r w:rsidR="00982138">
        <w:rPr>
          <w:rFonts w:ascii="Times New Roman" w:eastAsia="Times New Roman" w:hAnsi="Times New Roman" w:cs="Times New Roman"/>
          <w:color w:val="000000"/>
          <w:kern w:val="0"/>
          <w14:ligatures w14:val="none"/>
        </w:rPr>
        <w:t xml:space="preserve"> [adjoining land owner]</w:t>
      </w:r>
      <w:r w:rsidR="004F2C67" w:rsidRPr="004F2C67">
        <w:rPr>
          <w:rFonts w:ascii="Times New Roman" w:eastAsia="Times New Roman" w:hAnsi="Times New Roman" w:cs="Times New Roman"/>
          <w:color w:val="000000"/>
          <w:kern w:val="0"/>
          <w14:ligatures w14:val="none"/>
        </w:rPr>
        <w:t xml:space="preserve"> filed a complaint in the Circuit Court for Baltimore City challenging Mr. Little's actions as ultra vires and illegal under the MOA and requesting declaratory relief. The complaint names as defendants the City, the BDC, Lexington Square</w:t>
      </w:r>
      <w:r w:rsidR="00982138">
        <w:rPr>
          <w:rFonts w:ascii="Times New Roman" w:eastAsia="Times New Roman" w:hAnsi="Times New Roman" w:cs="Times New Roman"/>
          <w:color w:val="000000"/>
          <w:kern w:val="0"/>
          <w14:ligatures w14:val="none"/>
        </w:rPr>
        <w:t xml:space="preserve">, </w:t>
      </w:r>
      <w:r w:rsidR="004F2C67" w:rsidRPr="004F2C67">
        <w:rPr>
          <w:rFonts w:ascii="Times New Roman" w:eastAsia="Times New Roman" w:hAnsi="Times New Roman" w:cs="Times New Roman"/>
          <w:color w:val="000000"/>
          <w:kern w:val="0"/>
          <w14:ligatures w14:val="none"/>
        </w:rPr>
        <w:t>and, as a "necessary party," the Trust. The complaint alleges that "interpretation of a contract—the MOA between the State and City—" reveals how the approval process for demolition within the Superblock should have proceeded. The complaint further alleges that the approval process set forth in the MOA was violated when Mr. Little "abdicat[ed] . . . the MOA's contractual preservation mandate" by approving the demolition of nine designated buildings and thereby prohibited the Trust from exercising its proper role under the MOA by unilaterally approving the development plans. The complaint prayed the court to "interpret[] the Memorandum of Agreement  in light of the facts of this case, and declar[e] the 12/22/10 [acceptance] letter from Rodney Little to be ultra vires, ab initio."</w:t>
      </w:r>
    </w:p>
    <w:p w14:paraId="6CD09040" w14:textId="77777777" w:rsidR="004F2C67" w:rsidRPr="004F2C67" w:rsidRDefault="004F2C67" w:rsidP="004F2C67">
      <w:pPr>
        <w:rPr>
          <w:rFonts w:ascii="Times New Roman" w:eastAsia="Times New Roman" w:hAnsi="Times New Roman" w:cs="Times New Roman"/>
          <w:color w:val="000000"/>
          <w:kern w:val="0"/>
          <w14:ligatures w14:val="none"/>
        </w:rPr>
      </w:pPr>
    </w:p>
    <w:p w14:paraId="183AD9BE" w14:textId="0AC5A4DD" w:rsidR="004F2C67" w:rsidRDefault="004F2C67" w:rsidP="004F2C67">
      <w:pPr>
        <w:rPr>
          <w:rFonts w:ascii="Times New Roman" w:eastAsia="Times New Roman" w:hAnsi="Times New Roman" w:cs="Times New Roman"/>
          <w:color w:val="000000"/>
          <w:kern w:val="0"/>
          <w14:ligatures w14:val="none"/>
        </w:rPr>
      </w:pPr>
      <w:r w:rsidRPr="004F2C67">
        <w:rPr>
          <w:rFonts w:ascii="Times New Roman" w:eastAsia="Times New Roman" w:hAnsi="Times New Roman" w:cs="Times New Roman"/>
          <w:color w:val="000000"/>
          <w:kern w:val="0"/>
          <w14:ligatures w14:val="none"/>
        </w:rPr>
        <w:t>Each Appellee—the City, the BDC, Lexington Square, and the Trust—filed a motion to dismiss the complaint. All Appellees argued, inter alia, that 120 West Fayette's claim should  be dismissed because 120 West Fayette is neither a party to, nor an intended beneficiary of, the private agreement memorialized in the MOA. Appellees pointed out that the MOA explicitly names the City and the Trust as parties to the agreement and does not contain a term or promise for the particular benefit of 120 West Fayette. Therefore, Appellees argued, 120 West Fayette does not possess the requisite standing to file a suit requesting a declaratory judgment that interprets and enforces the MOA's approval provisions.</w:t>
      </w:r>
    </w:p>
    <w:p w14:paraId="2642A134" w14:textId="6FE29384" w:rsidR="002E4071" w:rsidRDefault="002E4071" w:rsidP="002E4071">
      <w:pPr>
        <w:rPr>
          <w:rFonts w:ascii="Times New Roman" w:eastAsia="Times New Roman" w:hAnsi="Times New Roman" w:cs="Times New Roman"/>
          <w:color w:val="000000"/>
          <w:kern w:val="0"/>
          <w14:ligatures w14:val="none"/>
        </w:rPr>
      </w:pPr>
      <w:r w:rsidRPr="002E4071">
        <w:rPr>
          <w:rFonts w:ascii="Times New Roman" w:eastAsia="Times New Roman" w:hAnsi="Times New Roman" w:cs="Times New Roman"/>
          <w:color w:val="000000"/>
          <w:kern w:val="0"/>
          <w14:ligatures w14:val="none"/>
        </w:rPr>
        <w:t xml:space="preserve">120 West Fayette argues that the Circuit Court made a legal error in granting the City's motion to dismiss for failure to state a claim. Specifically, 120 West  Fayette argues that the Circuit Court erred in using principles of contract law to analyze its standing, because, in the words of 120 West Fayette, the MOA is "much more than a simple agreement between the City and a State agency." </w:t>
      </w:r>
      <w:r>
        <w:rPr>
          <w:rFonts w:ascii="Times New Roman" w:eastAsia="Times New Roman" w:hAnsi="Times New Roman" w:cs="Times New Roman"/>
          <w:color w:val="000000"/>
          <w:kern w:val="0"/>
          <w14:ligatures w14:val="none"/>
        </w:rPr>
        <w:t xml:space="preserve">… </w:t>
      </w:r>
      <w:r w:rsidRPr="002E4071">
        <w:rPr>
          <w:rFonts w:ascii="Times New Roman" w:eastAsia="Times New Roman" w:hAnsi="Times New Roman" w:cs="Times New Roman"/>
          <w:color w:val="000000"/>
          <w:kern w:val="0"/>
          <w14:ligatures w14:val="none"/>
        </w:rPr>
        <w:t xml:space="preserve">120 West Fayette </w:t>
      </w:r>
      <w:r>
        <w:rPr>
          <w:rFonts w:ascii="Times New Roman" w:eastAsia="Times New Roman" w:hAnsi="Times New Roman" w:cs="Times New Roman"/>
          <w:color w:val="000000"/>
          <w:kern w:val="0"/>
          <w14:ligatures w14:val="none"/>
        </w:rPr>
        <w:t>..</w:t>
      </w:r>
      <w:r w:rsidRPr="002E4071">
        <w:rPr>
          <w:rFonts w:ascii="Times New Roman" w:eastAsia="Times New Roman" w:hAnsi="Times New Roman" w:cs="Times New Roman"/>
          <w:color w:val="000000"/>
          <w:kern w:val="0"/>
          <w14:ligatures w14:val="none"/>
        </w:rPr>
        <w:t xml:space="preserve"> asserts that it maintains its adjoining property owner standing because it remains situated next to the development site and</w:t>
      </w:r>
      <w:r w:rsidR="00773223">
        <w:rPr>
          <w:rFonts w:ascii="Times New Roman" w:eastAsia="Times New Roman" w:hAnsi="Times New Roman" w:cs="Times New Roman"/>
          <w:color w:val="000000"/>
          <w:kern w:val="0"/>
          <w14:ligatures w14:val="none"/>
        </w:rPr>
        <w:t xml:space="preserve"> </w:t>
      </w:r>
      <w:r w:rsidRPr="002E4071">
        <w:rPr>
          <w:rFonts w:ascii="Times New Roman" w:eastAsia="Times New Roman" w:hAnsi="Times New Roman" w:cs="Times New Roman"/>
          <w:color w:val="000000"/>
          <w:kern w:val="0"/>
          <w14:ligatures w14:val="none"/>
        </w:rPr>
        <w:t>the violation it alleges derives from a  quasi-land use decision. In that regard, 120 West Fayette declares the MOA to be a land use decision because it is "a unique land control device" that "provides an administrative body (The Trust) [with] control [of] demolition in an historic area."</w:t>
      </w:r>
    </w:p>
    <w:p w14:paraId="1D3AE42F" w14:textId="50956019" w:rsidR="00DF279F" w:rsidRPr="00982138" w:rsidRDefault="00DF279F" w:rsidP="002E4071">
      <w:pPr>
        <w:rPr>
          <w:rFonts w:ascii="Times New Roman" w:eastAsia="Times New Roman" w:hAnsi="Times New Roman" w:cs="Times New Roman"/>
          <w:b/>
          <w:bCs/>
          <w:color w:val="000000"/>
          <w:kern w:val="0"/>
          <w14:ligatures w14:val="none"/>
        </w:rPr>
      </w:pPr>
      <w:r w:rsidRPr="00982138">
        <w:rPr>
          <w:rFonts w:ascii="Times New Roman" w:eastAsia="Times New Roman" w:hAnsi="Times New Roman" w:cs="Times New Roman"/>
          <w:b/>
          <w:bCs/>
          <w:color w:val="000000"/>
          <w:kern w:val="0"/>
          <w14:ligatures w14:val="none"/>
        </w:rPr>
        <w:t>Opinion of the Court</w:t>
      </w:r>
    </w:p>
    <w:p w14:paraId="4582A3C7" w14:textId="170F9872" w:rsidR="005D0CAE" w:rsidRPr="005D0CAE" w:rsidRDefault="005D0CAE" w:rsidP="005D0CAE">
      <w:pPr>
        <w:rPr>
          <w:rFonts w:ascii="Times New Roman" w:eastAsia="Times New Roman" w:hAnsi="Times New Roman" w:cs="Times New Roman"/>
          <w:color w:val="000000"/>
          <w:kern w:val="0"/>
          <w14:ligatures w14:val="none"/>
        </w:rPr>
      </w:pPr>
      <w:r w:rsidRPr="005D0CAE">
        <w:rPr>
          <w:rFonts w:ascii="Times New Roman" w:eastAsia="Times New Roman" w:hAnsi="Times New Roman" w:cs="Times New Roman"/>
          <w:color w:val="000000"/>
          <w:kern w:val="0"/>
          <w14:ligatures w14:val="none"/>
        </w:rPr>
        <w:t xml:space="preserve">We </w:t>
      </w:r>
      <w:r>
        <w:rPr>
          <w:rFonts w:ascii="Times New Roman" w:eastAsia="Times New Roman" w:hAnsi="Times New Roman" w:cs="Times New Roman"/>
          <w:color w:val="000000"/>
          <w:kern w:val="0"/>
          <w14:ligatures w14:val="none"/>
        </w:rPr>
        <w:t>…</w:t>
      </w:r>
      <w:r w:rsidRPr="005D0CAE">
        <w:rPr>
          <w:rFonts w:ascii="Times New Roman" w:eastAsia="Times New Roman" w:hAnsi="Times New Roman" w:cs="Times New Roman"/>
          <w:color w:val="000000"/>
          <w:kern w:val="0"/>
          <w14:ligatures w14:val="none"/>
        </w:rPr>
        <w:t xml:space="preserve"> reject the contention that our opinion in </w:t>
      </w:r>
      <w:r>
        <w:rPr>
          <w:rFonts w:ascii="Times New Roman" w:eastAsia="Times New Roman" w:hAnsi="Times New Roman" w:cs="Times New Roman"/>
          <w:color w:val="000000"/>
          <w:kern w:val="0"/>
          <w14:ligatures w14:val="none"/>
        </w:rPr>
        <w:t>[previous cases] …</w:t>
      </w:r>
      <w:r w:rsidRPr="005D0CAE">
        <w:rPr>
          <w:rFonts w:ascii="Times New Roman" w:eastAsia="Times New Roman" w:hAnsi="Times New Roman" w:cs="Times New Roman"/>
          <w:color w:val="000000"/>
          <w:kern w:val="0"/>
          <w14:ligatures w14:val="none"/>
        </w:rPr>
        <w:t xml:space="preserve"> provides 120 West Fayette grounds  for legal standing in the instant case. In </w:t>
      </w:r>
      <w:r>
        <w:rPr>
          <w:rFonts w:ascii="Times New Roman" w:eastAsia="Times New Roman" w:hAnsi="Times New Roman" w:cs="Times New Roman"/>
          <w:color w:val="000000"/>
          <w:kern w:val="0"/>
          <w14:ligatures w14:val="none"/>
        </w:rPr>
        <w:t>[a previous case]</w:t>
      </w:r>
      <w:r w:rsidRPr="005D0CAE">
        <w:rPr>
          <w:rFonts w:ascii="Times New Roman" w:eastAsia="Times New Roman" w:hAnsi="Times New Roman" w:cs="Times New Roman"/>
          <w:color w:val="000000"/>
          <w:kern w:val="0"/>
          <w14:ligatures w14:val="none"/>
        </w:rPr>
        <w:t xml:space="preserve">, 120 West Fayette alleged that the City and BDC "unlawfully violated . . . the City's Charter and laws, to award the LDA [Land Disposition Agreement] to a favored developer.". That allegation was necessary to our holding that 120 West Fayette possessed taxpayer standing, or alternatively, adjoining property owner  standing, in that litigation. </w:t>
      </w:r>
    </w:p>
    <w:p w14:paraId="71C9E39B" w14:textId="77777777" w:rsidR="005D0CAE" w:rsidRPr="005D0CAE" w:rsidRDefault="005D0CAE" w:rsidP="005D0CAE">
      <w:pPr>
        <w:rPr>
          <w:rFonts w:ascii="Times New Roman" w:eastAsia="Times New Roman" w:hAnsi="Times New Roman" w:cs="Times New Roman"/>
          <w:color w:val="000000"/>
          <w:kern w:val="0"/>
          <w14:ligatures w14:val="none"/>
        </w:rPr>
      </w:pPr>
      <w:r w:rsidRPr="005D0CAE">
        <w:rPr>
          <w:rFonts w:ascii="Times New Roman" w:eastAsia="Times New Roman" w:hAnsi="Times New Roman" w:cs="Times New Roman"/>
          <w:color w:val="000000"/>
          <w:kern w:val="0"/>
          <w14:ligatures w14:val="none"/>
        </w:rPr>
        <w:t>The complaint we consider in the present appeal does not allege a violation of City law or the City Charter. Instead, the complaint charges Dr. Little and the City with the "abdication of the MOA's contractual preservation mandate," and explains that the "interpretation of a contract—the MOA between the State and City—" controls how approval for development plans should have proceeded. (Emphasis added.) Specifically, 120 West Fayette's complaint highlights, as the "gravamen" of the complaint, "[t]he illicit circumvention of appropriate approval for demolition plans." Self-evidently, 120 West Fayette explicitly  [**364]  recognizes the contractual nature of the MOA.</w:t>
      </w:r>
    </w:p>
    <w:p w14:paraId="41A7EF14" w14:textId="52C3FC15" w:rsidR="00CD1AE3" w:rsidRPr="00CD1AE3" w:rsidRDefault="00CD1AE3" w:rsidP="00CD1AE3">
      <w:pPr>
        <w:rPr>
          <w:rFonts w:ascii="Times New Roman" w:eastAsia="Times New Roman" w:hAnsi="Times New Roman" w:cs="Times New Roman"/>
          <w:color w:val="000000"/>
          <w:kern w:val="0"/>
          <w14:ligatures w14:val="none"/>
        </w:rPr>
      </w:pPr>
      <w:r w:rsidRPr="00CD1AE3">
        <w:rPr>
          <w:rFonts w:ascii="Times New Roman" w:eastAsia="Times New Roman" w:hAnsi="Times New Roman" w:cs="Times New Roman"/>
          <w:color w:val="000000"/>
          <w:kern w:val="0"/>
          <w14:ligatures w14:val="none"/>
        </w:rPr>
        <w:t xml:space="preserve">Generally defined, a land use decision is a decision (typically an ordinance or regulation) enacted or promulgated by a legislative or administrative body for the purpose of directing the development of real estate. See Black's Law Dictionary 958 (9th ed. 2009) (defining "land use regulation" as "an ordinance or other legislative enactment governing the development or use of </w:t>
      </w:r>
      <w:r w:rsidRPr="00CD1AE3">
        <w:rPr>
          <w:rFonts w:ascii="Times New Roman" w:eastAsia="Times New Roman" w:hAnsi="Times New Roman" w:cs="Times New Roman"/>
          <w:color w:val="000000"/>
          <w:kern w:val="0"/>
          <w14:ligatures w14:val="none"/>
        </w:rPr>
        <w:lastRenderedPageBreak/>
        <w:t>real estate"). Important for present purposes, our research discloses not a single case of this Court approving the grant of tax-payer or adjacent landowner standing to an individual or entity in any context other than a challenge to or pursuant to a land use decision, as that term is generally understood. Indeed, in every case of this Court that we have found, the land use decision a party was seeking to challenge or enforce was either an ordinance, variance, reclassification, or special exception provided by a local zoning body, or a permit or license issued by an administrative agency.</w:t>
      </w:r>
    </w:p>
    <w:p w14:paraId="76EFBDD0" w14:textId="77777777" w:rsidR="002919C6" w:rsidRPr="002919C6" w:rsidRDefault="002919C6" w:rsidP="002919C6">
      <w:pPr>
        <w:rPr>
          <w:rFonts w:ascii="Times New Roman" w:eastAsia="Times New Roman" w:hAnsi="Times New Roman" w:cs="Times New Roman"/>
          <w:color w:val="000000"/>
          <w:kern w:val="0"/>
          <w14:ligatures w14:val="none"/>
        </w:rPr>
      </w:pPr>
      <w:r w:rsidRPr="002919C6">
        <w:rPr>
          <w:rFonts w:ascii="Times New Roman" w:eastAsia="Times New Roman" w:hAnsi="Times New Roman" w:cs="Times New Roman"/>
          <w:color w:val="000000"/>
          <w:kern w:val="0"/>
          <w14:ligatures w14:val="none"/>
        </w:rPr>
        <w:t>The MOA at issue in the present case is not an ordinance, variance or permit. Furthermore, the MOA binds only two parties (as opposed to the general public). The MOA was not enacted by a legislative or administrative body. And, most important, the MOA does not direct the use or development of real estate in the Superblock. The MOA, in short, is not a land use decision.</w:t>
      </w:r>
    </w:p>
    <w:p w14:paraId="235B2E7B" w14:textId="0555249D" w:rsidR="002919C6" w:rsidRDefault="002919C6" w:rsidP="002919C6">
      <w:pPr>
        <w:rPr>
          <w:rFonts w:ascii="Times New Roman" w:hAnsi="Times New Roman" w:cs="Times New Roman"/>
        </w:rPr>
      </w:pPr>
      <w:r w:rsidRPr="002919C6">
        <w:rPr>
          <w:rFonts w:ascii="Times New Roman" w:hAnsi="Times New Roman" w:cs="Times New Roman"/>
        </w:rPr>
        <w:t>Because the MOA is not a land use decision, 120 West Fayette cannot rely on the principles that extend standing to an adjoining landowner in review of land use decisions. 120 West Fayette therefore is left only with principles of contract law to establish its entitlement to press a claim for declaratory relief.</w:t>
      </w:r>
    </w:p>
    <w:p w14:paraId="6E35E916" w14:textId="35796014" w:rsidR="00A63D9A" w:rsidRDefault="00A63D9A" w:rsidP="00A63D9A">
      <w:pPr>
        <w:rPr>
          <w:rFonts w:ascii="Times New Roman" w:hAnsi="Times New Roman" w:cs="Times New Roman"/>
        </w:rPr>
      </w:pPr>
      <w:r w:rsidRPr="00A63D9A">
        <w:rPr>
          <w:rFonts w:ascii="Times New Roman" w:hAnsi="Times New Roman" w:cs="Times New Roman"/>
        </w:rPr>
        <w:t>At common law, only a party to a contract could bring suit to enforce the terms of a contract.</w:t>
      </w:r>
      <w:r>
        <w:rPr>
          <w:rFonts w:ascii="Times New Roman" w:hAnsi="Times New Roman" w:cs="Times New Roman"/>
        </w:rPr>
        <w:t xml:space="preserve"> </w:t>
      </w:r>
      <w:r w:rsidRPr="00A63D9A">
        <w:rPr>
          <w:rFonts w:ascii="Times New Roman" w:hAnsi="Times New Roman" w:cs="Times New Roman"/>
        </w:rPr>
        <w:t>120 West Fayette is not a party to the MOA, and, indeed, it does not claim to be. The memorandum states explicitly: "This [agreement] is entered into . . . by and between the Mayor and City Council of Baltimore . . . and the Maryland Historical Trust." Additionally, 120 West Fayette is not a third-party beneficiary of the MOA.  The promises and benefits set forth in the MOA are directed solely to the City and the Trust. Nowhere in the MOA is it contemplated that 120 West Fayette is to receive a benefit. 120 West Fayette seems to concede as much in its brief before this Court, explaining that it did not file its  complaint in order to obtain a favorable administrative decision; instead, "[120 West Fayette] asked the court to restore the Board's opportunity, conferred by the MOA, to the rightful decision maker, i.e., the Board of Trustees of [the Trust]. . . . The prime intent of the suit was to give [the Trust] the right to review and rule on demolition plans under the MOA."</w:t>
      </w:r>
    </w:p>
    <w:p w14:paraId="3D1CBAB8" w14:textId="77777777" w:rsidR="000876DD" w:rsidRDefault="000876DD" w:rsidP="000876DD">
      <w:pPr>
        <w:rPr>
          <w:rFonts w:ascii="Times New Roman" w:hAnsi="Times New Roman" w:cs="Times New Roman"/>
        </w:rPr>
      </w:pPr>
      <w:r w:rsidRPr="000876DD">
        <w:rPr>
          <w:rFonts w:ascii="Times New Roman" w:hAnsi="Times New Roman" w:cs="Times New Roman"/>
        </w:rPr>
        <w:t>The Trust ultimately chose not to take any legal action in connection with this matter. Whether 120 West Fayette is satisfied with the consequences of that decision is immaterial, because 120 West Fayette's satisfaction was not contemplated by the private agreement memorialized in the MOA.</w:t>
      </w:r>
    </w:p>
    <w:p w14:paraId="01989736" w14:textId="55A35D7A" w:rsidR="00982138" w:rsidRPr="00982138" w:rsidRDefault="00982138" w:rsidP="000876DD">
      <w:pPr>
        <w:rPr>
          <w:rFonts w:ascii="Times New Roman" w:hAnsi="Times New Roman" w:cs="Times New Roman"/>
          <w:b/>
          <w:bCs/>
        </w:rPr>
      </w:pPr>
      <w:r w:rsidRPr="00982138">
        <w:rPr>
          <w:rFonts w:ascii="Times New Roman" w:hAnsi="Times New Roman" w:cs="Times New Roman"/>
          <w:b/>
          <w:bCs/>
        </w:rPr>
        <w:t>Holding</w:t>
      </w:r>
    </w:p>
    <w:p w14:paraId="6DAD690A" w14:textId="77777777" w:rsidR="000876DD" w:rsidRPr="000876DD" w:rsidRDefault="000876DD" w:rsidP="000876DD">
      <w:pPr>
        <w:rPr>
          <w:rFonts w:ascii="Times New Roman" w:hAnsi="Times New Roman" w:cs="Times New Roman"/>
        </w:rPr>
      </w:pPr>
      <w:r w:rsidRPr="000876DD">
        <w:rPr>
          <w:rFonts w:ascii="Times New Roman" w:hAnsi="Times New Roman" w:cs="Times New Roman"/>
        </w:rPr>
        <w:t>We hold that 120 West Fayette, at best an incidental beneficiary to the MOA, may not file a suit requesting declaratory judgment that interprets and enforces an agreement to which it has no part. The Circuit Court did not err in dismissing the complaint.</w:t>
      </w:r>
    </w:p>
    <w:p w14:paraId="30A39B65" w14:textId="77777777" w:rsidR="000876DD" w:rsidRPr="000876DD" w:rsidRDefault="000876DD" w:rsidP="000876DD">
      <w:pPr>
        <w:rPr>
          <w:rFonts w:ascii="Times New Roman" w:hAnsi="Times New Roman" w:cs="Times New Roman"/>
        </w:rPr>
      </w:pPr>
    </w:p>
    <w:sectPr w:rsidR="000876DD" w:rsidRPr="0008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A7"/>
    <w:rsid w:val="000756C0"/>
    <w:rsid w:val="000876DD"/>
    <w:rsid w:val="002919C6"/>
    <w:rsid w:val="002D247C"/>
    <w:rsid w:val="002E4071"/>
    <w:rsid w:val="004F2C67"/>
    <w:rsid w:val="005D0CAE"/>
    <w:rsid w:val="00773223"/>
    <w:rsid w:val="008100C9"/>
    <w:rsid w:val="00820BA7"/>
    <w:rsid w:val="00890AD9"/>
    <w:rsid w:val="00982138"/>
    <w:rsid w:val="00A63D9A"/>
    <w:rsid w:val="00BE64AE"/>
    <w:rsid w:val="00CD1AE3"/>
    <w:rsid w:val="00DF279F"/>
    <w:rsid w:val="00EB7F90"/>
    <w:rsid w:val="00F57146"/>
    <w:rsid w:val="00FE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FB90"/>
  <w15:chartTrackingRefBased/>
  <w15:docId w15:val="{9FF4F7E5-1B3B-48C3-92CC-02B30A33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14831">
      <w:bodyDiv w:val="1"/>
      <w:marLeft w:val="0"/>
      <w:marRight w:val="0"/>
      <w:marTop w:val="0"/>
      <w:marBottom w:val="0"/>
      <w:divBdr>
        <w:top w:val="none" w:sz="0" w:space="0" w:color="auto"/>
        <w:left w:val="none" w:sz="0" w:space="0" w:color="auto"/>
        <w:bottom w:val="none" w:sz="0" w:space="0" w:color="auto"/>
        <w:right w:val="none" w:sz="0" w:space="0" w:color="auto"/>
      </w:divBdr>
    </w:div>
    <w:div w:id="10938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Phillips</dc:creator>
  <cp:keywords/>
  <dc:description/>
  <cp:lastModifiedBy>Georgette Phillips</cp:lastModifiedBy>
  <cp:revision>12</cp:revision>
  <dcterms:created xsi:type="dcterms:W3CDTF">2025-03-16T21:50:00Z</dcterms:created>
  <dcterms:modified xsi:type="dcterms:W3CDTF">2025-03-16T22:59:00Z</dcterms:modified>
</cp:coreProperties>
</file>