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4312" w14:textId="77777777" w:rsidR="0021716B" w:rsidRDefault="0021716B">
      <w:pPr>
        <w:sectPr w:rsidR="0021716B">
          <w:headerReference w:type="default" r:id="rId6"/>
          <w:footerReference w:type="default" r:id="rId7"/>
          <w:footerReference w:type="first" r:id="rId8"/>
          <w:pgSz w:w="12240" w:h="15840"/>
          <w:pgMar w:top="840" w:right="1000" w:bottom="840" w:left="1000" w:header="400" w:footer="400" w:gutter="0"/>
          <w:cols w:space="720"/>
        </w:sectPr>
      </w:pPr>
    </w:p>
    <w:p w14:paraId="4434BBAB" w14:textId="77777777" w:rsidR="0021716B" w:rsidRDefault="0021716B"/>
    <w:p w14:paraId="36105674" w14:textId="20C380DE" w:rsidR="0021716B" w:rsidRDefault="00495C19">
      <w:r>
        <w:rPr>
          <w:noProof/>
        </w:rPr>
        <w:drawing>
          <wp:inline distT="0" distB="0" distL="0" distR="0" wp14:anchorId="54D51739" wp14:editId="0CC29B11">
            <wp:extent cx="165100" cy="165100"/>
            <wp:effectExtent l="0" t="0" r="0" b="0"/>
            <wp:docPr id="1"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Arial" w:eastAsia="Arial" w:hAnsi="Arial" w:cs="Arial"/>
          <w:color w:val="000000"/>
          <w:sz w:val="18"/>
        </w:rPr>
        <w:t>   Neutral</w:t>
      </w:r>
      <w:r>
        <w:rPr>
          <w:rFonts w:ascii="Arial" w:eastAsia="Arial" w:hAnsi="Arial" w:cs="Arial"/>
          <w:color w:val="000000"/>
          <w:sz w:val="18"/>
        </w:rPr>
        <w:cr/>
        <w:t>As of: March 26, 2025 5:26 PM Z</w:t>
      </w:r>
    </w:p>
    <w:p w14:paraId="2BD176FC" w14:textId="77777777" w:rsidR="0021716B" w:rsidRDefault="0021716B">
      <w:pPr>
        <w:pStyle w:val="Heading1"/>
        <w:keepNext w:val="0"/>
        <w:widowControl w:val="0"/>
        <w:spacing w:after="200" w:line="340" w:lineRule="atLeast"/>
        <w:jc w:val="center"/>
      </w:pPr>
      <w:hyperlink r:id="rId11" w:history="1">
        <w:r>
          <w:rPr>
            <w:rFonts w:eastAsia="Arial"/>
            <w:i/>
            <w:color w:val="0077CC"/>
            <w:sz w:val="28"/>
            <w:u w:val="single"/>
          </w:rPr>
          <w:t>Ellis v. Chambers</w:t>
        </w:r>
      </w:hyperlink>
    </w:p>
    <w:p w14:paraId="1DCE6908" w14:textId="77777777" w:rsidR="0021716B" w:rsidRDefault="00000000">
      <w:pPr>
        <w:widowControl w:val="0"/>
        <w:spacing w:before="120" w:line="260" w:lineRule="atLeast"/>
        <w:jc w:val="center"/>
      </w:pPr>
      <w:r>
        <w:rPr>
          <w:rFonts w:ascii="Arial" w:eastAsia="Arial" w:hAnsi="Arial" w:cs="Arial"/>
          <w:color w:val="000000"/>
          <w:sz w:val="20"/>
        </w:rPr>
        <w:t>United States Court of Appeals for the Eleventh Circuit</w:t>
      </w:r>
    </w:p>
    <w:p w14:paraId="12A01653" w14:textId="77777777" w:rsidR="0021716B" w:rsidRDefault="00000000">
      <w:pPr>
        <w:widowControl w:val="0"/>
        <w:spacing w:before="120" w:line="260" w:lineRule="atLeast"/>
        <w:jc w:val="center"/>
      </w:pPr>
      <w:r>
        <w:rPr>
          <w:rFonts w:ascii="Arial" w:eastAsia="Arial" w:hAnsi="Arial" w:cs="Arial"/>
          <w:color w:val="000000"/>
          <w:sz w:val="20"/>
        </w:rPr>
        <w:t>December 19, 2022, Filed</w:t>
      </w:r>
    </w:p>
    <w:p w14:paraId="22852D65" w14:textId="77777777" w:rsidR="0021716B" w:rsidRDefault="00000000">
      <w:pPr>
        <w:widowControl w:val="0"/>
        <w:spacing w:before="120" w:line="260" w:lineRule="atLeast"/>
        <w:jc w:val="center"/>
        <w:sectPr w:rsidR="0021716B">
          <w:type w:val="continuous"/>
          <w:pgSz w:w="12240" w:h="15840"/>
          <w:pgMar w:top="840" w:right="1000" w:bottom="840" w:left="1000" w:header="400" w:footer="400" w:gutter="0"/>
          <w:cols w:space="240"/>
        </w:sectPr>
      </w:pPr>
      <w:r>
        <w:rPr>
          <w:rFonts w:ascii="Arial" w:eastAsia="Arial" w:hAnsi="Arial" w:cs="Arial"/>
          <w:color w:val="000000"/>
          <w:sz w:val="20"/>
        </w:rPr>
        <w:t>No. 21-13984 Non-Argument Calendar</w:t>
      </w:r>
    </w:p>
    <w:p w14:paraId="6A2B3ADB" w14:textId="77777777" w:rsidR="0021716B" w:rsidRDefault="0021716B">
      <w:pPr>
        <w:widowControl w:val="0"/>
        <w:spacing w:line="240" w:lineRule="atLeast"/>
        <w:jc w:val="both"/>
      </w:pPr>
      <w:bookmarkStart w:id="0" w:name="Bookmark_1"/>
      <w:bookmarkEnd w:id="0"/>
    </w:p>
    <w:p w14:paraId="177DC21F" w14:textId="77777777" w:rsidR="0021716B"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4E8CDB94" w14:textId="77777777" w:rsidR="0021716B" w:rsidRDefault="00000000">
      <w:pPr>
        <w:widowControl w:val="0"/>
        <w:spacing w:line="240" w:lineRule="atLeast"/>
        <w:sectPr w:rsidR="0021716B">
          <w:type w:val="continuous"/>
          <w:pgSz w:w="12240" w:h="15840"/>
          <w:pgMar w:top="840" w:right="1000" w:bottom="840" w:left="1000" w:header="400" w:footer="400" w:gutter="0"/>
          <w:cols w:space="240"/>
        </w:sectPr>
      </w:pPr>
      <w:r>
        <w:rPr>
          <w:rFonts w:ascii="Arial" w:eastAsia="Arial" w:hAnsi="Arial" w:cs="Arial"/>
          <w:color w:val="000000"/>
          <w:sz w:val="18"/>
        </w:rPr>
        <w:t>2022 U.S. App. LEXIS 34991 *; 2022 WL 17752231</w:t>
      </w:r>
    </w:p>
    <w:p w14:paraId="0CD09F13" w14:textId="77777777" w:rsidR="0021716B" w:rsidRDefault="00000000">
      <w:pPr>
        <w:widowControl w:val="0"/>
        <w:spacing w:before="120" w:line="260" w:lineRule="atLeast"/>
      </w:pPr>
      <w:r>
        <w:rPr>
          <w:rFonts w:ascii="Arial" w:eastAsia="Arial" w:hAnsi="Arial" w:cs="Arial"/>
          <w:color w:val="000000"/>
          <w:sz w:val="20"/>
        </w:rPr>
        <w:t>SHERRI ELLIS, SCOTT PETERS, Plaintiffs-Third Party Plaintiffs-Appellants, versus DR. JOHN CHAMBERS, CYNTHIA CHAMBERS, Defendants-Third Party Plaintiffs Cross Defendants-Appellees,</w:t>
      </w:r>
    </w:p>
    <w:p w14:paraId="7684F937" w14:textId="77777777" w:rsidR="0021716B" w:rsidRDefault="00000000">
      <w:pPr>
        <w:widowControl w:val="0"/>
        <w:spacing w:before="240" w:line="260" w:lineRule="atLeast"/>
        <w:jc w:val="both"/>
      </w:pPr>
      <w:bookmarkStart w:id="2" w:name="Notice"/>
      <w:bookmarkStart w:id="3" w:name="Prior_History"/>
      <w:bookmarkEnd w:id="2"/>
      <w:bookmarkEnd w:id="3"/>
      <w:r>
        <w:rPr>
          <w:rFonts w:ascii="Arial" w:eastAsia="Arial" w:hAnsi="Arial" w:cs="Arial"/>
          <w:b/>
          <w:color w:val="000000"/>
          <w:sz w:val="20"/>
        </w:rPr>
        <w:t>Prior History:</w:t>
      </w:r>
      <w:r>
        <w:rPr>
          <w:rFonts w:ascii="Arial" w:eastAsia="Arial" w:hAnsi="Arial" w:cs="Arial"/>
          <w:color w:val="000000"/>
          <w:sz w:val="20"/>
        </w:rPr>
        <w:t> </w:t>
      </w:r>
      <w:bookmarkStart w:id="4" w:name="Bookmark_para_2"/>
      <w:bookmarkEnd w:id="4"/>
      <w:r>
        <w:rPr>
          <w:rFonts w:ascii="Arial" w:eastAsia="Arial" w:hAnsi="Arial" w:cs="Arial"/>
          <w:b/>
          <w:color w:val="000000"/>
          <w:sz w:val="20"/>
        </w:rPr>
        <w:t> [*1] </w:t>
      </w:r>
      <w:r>
        <w:rPr>
          <w:rFonts w:ascii="Arial" w:eastAsia="Arial" w:hAnsi="Arial" w:cs="Arial"/>
          <w:color w:val="000000"/>
          <w:sz w:val="20"/>
        </w:rPr>
        <w:t>Appeal from the United States District Court for the Northern District of Alabama. D.C. Docket No. 2:19-cv-01776-CLM.</w:t>
      </w:r>
    </w:p>
    <w:p w14:paraId="6659AB8A" w14:textId="77777777" w:rsidR="0021716B" w:rsidRDefault="00000000">
      <w:pPr>
        <w:widowControl w:val="0"/>
        <w:spacing w:before="240" w:line="260" w:lineRule="atLeast"/>
      </w:pPr>
      <w:r>
        <w:br/>
      </w:r>
      <w:hyperlink r:id="rId12" w:history="1">
        <w:r w:rsidR="0021716B">
          <w:rPr>
            <w:rFonts w:ascii="Arial" w:eastAsia="Arial" w:hAnsi="Arial" w:cs="Arial"/>
            <w:i/>
            <w:color w:val="0077CC"/>
            <w:sz w:val="20"/>
            <w:u w:val="single"/>
          </w:rPr>
          <w:t>Ellis v. Chambers, 570 F. Supp. 3d 1111, 2021 U.S. Dist. LEXIS 213590, 2021 WL 5140935 (N.D. Ala., Nov. 4, 2021)</w:t>
        </w:r>
      </w:hyperlink>
    </w:p>
    <w:p w14:paraId="1916B104" w14:textId="77777777" w:rsidR="0021716B" w:rsidRDefault="00000000">
      <w:pPr>
        <w:widowControl w:val="0"/>
        <w:spacing w:before="240" w:line="260" w:lineRule="atLeast"/>
        <w:jc w:val="both"/>
      </w:pPr>
      <w:bookmarkStart w:id="5" w:name="Disposition"/>
      <w:bookmarkEnd w:id="5"/>
      <w:r>
        <w:rPr>
          <w:rFonts w:ascii="Arial" w:eastAsia="Arial" w:hAnsi="Arial" w:cs="Arial"/>
          <w:b/>
          <w:color w:val="000000"/>
          <w:sz w:val="20"/>
        </w:rPr>
        <w:t>Disposition:</w:t>
      </w:r>
      <w:r>
        <w:rPr>
          <w:rFonts w:ascii="Arial" w:eastAsia="Arial" w:hAnsi="Arial" w:cs="Arial"/>
          <w:color w:val="000000"/>
          <w:sz w:val="20"/>
        </w:rPr>
        <w:t> </w:t>
      </w:r>
      <w:bookmarkStart w:id="6" w:name="Bookmark_clspara_4"/>
      <w:bookmarkEnd w:id="6"/>
      <w:r>
        <w:rPr>
          <w:rFonts w:ascii="Arial" w:eastAsia="Arial" w:hAnsi="Arial" w:cs="Arial"/>
          <w:color w:val="000000"/>
          <w:sz w:val="20"/>
        </w:rPr>
        <w:t>AFFIRMED.</w:t>
      </w:r>
    </w:p>
    <w:p w14:paraId="55BE2ABA" w14:textId="77777777" w:rsidR="0021716B" w:rsidRDefault="00000000">
      <w:pPr>
        <w:keepNext/>
        <w:widowControl w:val="0"/>
        <w:spacing w:before="240" w:line="340" w:lineRule="atLeast"/>
      </w:pPr>
      <w:bookmarkStart w:id="7" w:name="Core_Terms"/>
      <w:bookmarkStart w:id="8" w:name="Case_Summary"/>
      <w:bookmarkEnd w:id="7"/>
      <w:bookmarkEnd w:id="8"/>
      <w:r>
        <w:rPr>
          <w:rFonts w:ascii="Arial" w:eastAsia="Arial" w:hAnsi="Arial" w:cs="Arial"/>
          <w:b/>
          <w:color w:val="000000"/>
          <w:sz w:val="28"/>
        </w:rPr>
        <w:t>Case Summary</w:t>
      </w:r>
    </w:p>
    <w:p w14:paraId="7B7A0F0A" w14:textId="0DA3C19E" w:rsidR="0021716B" w:rsidRDefault="00495C19">
      <w:pPr>
        <w:spacing w:line="60" w:lineRule="exact"/>
      </w:pPr>
      <w:r>
        <w:rPr>
          <w:noProof/>
        </w:rPr>
        <mc:AlternateContent>
          <mc:Choice Requires="wps">
            <w:drawing>
              <wp:anchor distT="0" distB="0" distL="114300" distR="114300" simplePos="0" relativeHeight="251659264" behindDoc="0" locked="0" layoutInCell="1" allowOverlap="1" wp14:anchorId="35FAA4AB" wp14:editId="13D280CC">
                <wp:simplePos x="0" y="0"/>
                <wp:positionH relativeFrom="column">
                  <wp:posOffset>0</wp:posOffset>
                </wp:positionH>
                <wp:positionV relativeFrom="paragraph">
                  <wp:posOffset>25400</wp:posOffset>
                </wp:positionV>
                <wp:extent cx="3187700" cy="0"/>
                <wp:effectExtent l="15875" t="15240" r="15875" b="13335"/>
                <wp:wrapTopAndBottom/>
                <wp:docPr id="915633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349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149FDAF0" w14:textId="77777777" w:rsidR="0021716B" w:rsidRDefault="0021716B">
      <w:pPr>
        <w:spacing w:line="120" w:lineRule="exact"/>
      </w:pPr>
    </w:p>
    <w:p w14:paraId="539ED6AB" w14:textId="77777777" w:rsidR="0021716B" w:rsidRDefault="00000000">
      <w:pPr>
        <w:widowControl w:val="0"/>
        <w:spacing w:before="240" w:line="260" w:lineRule="atLeast"/>
      </w:pPr>
      <w:bookmarkStart w:id="9" w:name="Overview"/>
      <w:bookmarkEnd w:id="9"/>
      <w:r>
        <w:rPr>
          <w:rFonts w:ascii="Arial" w:eastAsia="Arial" w:hAnsi="Arial" w:cs="Arial"/>
          <w:b/>
          <w:color w:val="000000"/>
          <w:sz w:val="20"/>
        </w:rPr>
        <w:t>Overview</w:t>
      </w:r>
    </w:p>
    <w:p w14:paraId="0F9E41C7" w14:textId="0A068D96" w:rsidR="0021716B" w:rsidRDefault="00000000">
      <w:pPr>
        <w:widowControl w:val="0"/>
        <w:spacing w:before="240" w:line="260" w:lineRule="atLeast"/>
        <w:jc w:val="both"/>
      </w:pPr>
      <w:bookmarkStart w:id="10" w:name="Bookmark_clspara_2"/>
      <w:bookmarkEnd w:id="10"/>
      <w:r>
        <w:rPr>
          <w:rFonts w:ascii="Arial" w:eastAsia="Arial" w:hAnsi="Arial" w:cs="Arial"/>
          <w:color w:val="000000"/>
          <w:sz w:val="20"/>
        </w:rPr>
        <w:t xml:space="preserve">HOLDINGS: [1]-Prospective buyers of </w:t>
      </w:r>
      <w:r>
        <w:rPr>
          <w:rFonts w:ascii="Arial" w:eastAsia="Arial" w:hAnsi="Arial" w:cs="Arial"/>
          <w:b/>
          <w:i/>
          <w:color w:val="000000"/>
          <w:sz w:val="20"/>
          <w:u w:val="single"/>
        </w:rPr>
        <w:t>real estate</w:t>
      </w:r>
      <w:r>
        <w:rPr>
          <w:rFonts w:ascii="Arial" w:eastAsia="Arial" w:hAnsi="Arial" w:cs="Arial"/>
          <w:color w:val="000000"/>
          <w:sz w:val="20"/>
        </w:rPr>
        <w:t xml:space="preserve"> did not breach the contract under Alabama law by refusing to close because the buyers were unable to obtain financing, did not waive a </w:t>
      </w:r>
      <w:r>
        <w:rPr>
          <w:rFonts w:ascii="Arial" w:eastAsia="Arial" w:hAnsi="Arial" w:cs="Arial"/>
          <w:b/>
          <w:i/>
          <w:color w:val="000000"/>
          <w:sz w:val="20"/>
          <w:u w:val="single"/>
        </w:rPr>
        <w:t>financing contingency</w:t>
      </w:r>
      <w:r>
        <w:rPr>
          <w:rFonts w:ascii="Arial" w:eastAsia="Arial" w:hAnsi="Arial" w:cs="Arial"/>
          <w:color w:val="000000"/>
          <w:sz w:val="20"/>
        </w:rPr>
        <w:t xml:space="preserve">, and made a reasonable </w:t>
      </w:r>
      <w:r>
        <w:rPr>
          <w:rFonts w:ascii="Arial" w:eastAsia="Arial" w:hAnsi="Arial" w:cs="Arial"/>
          <w:b/>
          <w:i/>
          <w:color w:val="000000"/>
          <w:sz w:val="20"/>
          <w:u w:val="single"/>
        </w:rPr>
        <w:t>good faith</w:t>
      </w:r>
      <w:r>
        <w:rPr>
          <w:rFonts w:ascii="Arial" w:eastAsia="Arial" w:hAnsi="Arial" w:cs="Arial"/>
          <w:color w:val="000000"/>
          <w:sz w:val="20"/>
        </w:rPr>
        <w:t xml:space="preserve"> effort as shown by evidence that one of the buyers had anticipated a change of employment but reasonably rejected proposed employment agreements containing new and unfavorable terms</w:t>
      </w:r>
      <w:r w:rsidR="00BD217F">
        <w:rPr>
          <w:rFonts w:ascii="Arial" w:eastAsia="Arial" w:hAnsi="Arial" w:cs="Arial"/>
          <w:color w:val="000000"/>
          <w:sz w:val="20"/>
        </w:rPr>
        <w:t>…</w:t>
      </w:r>
      <w:r>
        <w:rPr>
          <w:rFonts w:ascii="Arial" w:eastAsia="Arial" w:hAnsi="Arial" w:cs="Arial"/>
          <w:color w:val="000000"/>
          <w:sz w:val="20"/>
        </w:rPr>
        <w:t xml:space="preserve"> </w:t>
      </w:r>
    </w:p>
    <w:p w14:paraId="454E3919" w14:textId="77777777" w:rsidR="0021716B" w:rsidRDefault="00000000">
      <w:pPr>
        <w:widowControl w:val="0"/>
        <w:spacing w:before="240" w:line="260" w:lineRule="atLeast"/>
      </w:pPr>
      <w:bookmarkStart w:id="11" w:name="Outcome"/>
      <w:bookmarkEnd w:id="11"/>
      <w:r>
        <w:rPr>
          <w:rFonts w:ascii="Arial" w:eastAsia="Arial" w:hAnsi="Arial" w:cs="Arial"/>
          <w:b/>
          <w:color w:val="000000"/>
          <w:sz w:val="20"/>
        </w:rPr>
        <w:t>Outcome</w:t>
      </w:r>
    </w:p>
    <w:p w14:paraId="64F14AB2" w14:textId="77777777" w:rsidR="0021716B" w:rsidRDefault="00000000">
      <w:pPr>
        <w:widowControl w:val="0"/>
        <w:spacing w:line="260" w:lineRule="atLeast"/>
        <w:jc w:val="both"/>
      </w:pPr>
      <w:bookmarkStart w:id="12" w:name="Bookmark_clspara_3"/>
      <w:bookmarkEnd w:id="12"/>
      <w:r>
        <w:rPr>
          <w:rFonts w:ascii="Arial" w:eastAsia="Arial" w:hAnsi="Arial" w:cs="Arial"/>
          <w:color w:val="000000"/>
          <w:sz w:val="20"/>
        </w:rPr>
        <w:t>Judgment affirmed.</w:t>
      </w:r>
    </w:p>
    <w:p w14:paraId="27CC1AF7" w14:textId="77777777" w:rsidR="0021716B" w:rsidRDefault="00000000">
      <w:pPr>
        <w:keepNext/>
        <w:widowControl w:val="0"/>
        <w:spacing w:before="240" w:line="340" w:lineRule="atLeast"/>
      </w:pPr>
      <w:bookmarkStart w:id="13" w:name="LexisNexis®_Headnotes"/>
      <w:bookmarkStart w:id="14" w:name="Opinion"/>
      <w:bookmarkEnd w:id="13"/>
      <w:bookmarkEnd w:id="14"/>
      <w:r>
        <w:rPr>
          <w:rFonts w:ascii="Arial" w:eastAsia="Arial" w:hAnsi="Arial" w:cs="Arial"/>
          <w:b/>
          <w:color w:val="000000"/>
          <w:sz w:val="28"/>
        </w:rPr>
        <w:t>Opinion</w:t>
      </w:r>
    </w:p>
    <w:p w14:paraId="5C3331AC" w14:textId="54817034" w:rsidR="0021716B" w:rsidRDefault="00495C19">
      <w:pPr>
        <w:spacing w:line="60" w:lineRule="exact"/>
      </w:pPr>
      <w:r>
        <w:rPr>
          <w:noProof/>
        </w:rPr>
        <mc:AlternateContent>
          <mc:Choice Requires="wps">
            <w:drawing>
              <wp:anchor distT="0" distB="0" distL="114300" distR="114300" simplePos="0" relativeHeight="251661312" behindDoc="0" locked="0" layoutInCell="1" allowOverlap="1" wp14:anchorId="6579E04A" wp14:editId="51C02CBF">
                <wp:simplePos x="0" y="0"/>
                <wp:positionH relativeFrom="column">
                  <wp:posOffset>0</wp:posOffset>
                </wp:positionH>
                <wp:positionV relativeFrom="paragraph">
                  <wp:posOffset>25400</wp:posOffset>
                </wp:positionV>
                <wp:extent cx="3187700" cy="0"/>
                <wp:effectExtent l="15875" t="19050" r="15875" b="19050"/>
                <wp:wrapTopAndBottom/>
                <wp:docPr id="76671775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7719F"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33057950" w14:textId="77777777" w:rsidR="0021716B" w:rsidRDefault="0021716B"/>
    <w:p w14:paraId="740BC621" w14:textId="77777777" w:rsidR="0021716B" w:rsidRDefault="00000000">
      <w:pPr>
        <w:widowControl w:val="0"/>
        <w:spacing w:before="200" w:line="260" w:lineRule="atLeast"/>
        <w:jc w:val="both"/>
      </w:pPr>
      <w:bookmarkStart w:id="15" w:name="Bookmark_para_3"/>
      <w:bookmarkEnd w:id="15"/>
      <w:r>
        <w:rPr>
          <w:rFonts w:ascii="Arial" w:eastAsia="Arial" w:hAnsi="Arial" w:cs="Arial"/>
          <w:color w:val="000000"/>
          <w:sz w:val="20"/>
        </w:rPr>
        <w:t>PER CURIAM:</w:t>
      </w:r>
    </w:p>
    <w:p w14:paraId="02BCD88D" w14:textId="77777777" w:rsidR="0021716B" w:rsidRDefault="00000000">
      <w:pPr>
        <w:widowControl w:val="0"/>
        <w:spacing w:before="200" w:line="260" w:lineRule="atLeast"/>
        <w:jc w:val="both"/>
      </w:pPr>
      <w:bookmarkStart w:id="16" w:name="Bookmark_para_4"/>
      <w:bookmarkEnd w:id="16"/>
      <w:r>
        <w:rPr>
          <w:rFonts w:ascii="Arial" w:eastAsia="Arial" w:hAnsi="Arial" w:cs="Arial"/>
          <w:color w:val="000000"/>
          <w:sz w:val="20"/>
        </w:rPr>
        <w:t>This appeal involving a failed home purchase is about assumptions. The sellers assumed that the buyers could easily obtain financing to purchase their home. The buyers assumed that the terms of a job offer would be acceptable. However, assumptions quite often to lead to disappointment and (occasionally) to litigation—as is the situation before us now.</w:t>
      </w:r>
    </w:p>
    <w:p w14:paraId="21CC56BE" w14:textId="38725C1B" w:rsidR="0021716B" w:rsidRDefault="00000000">
      <w:pPr>
        <w:widowControl w:val="0"/>
        <w:spacing w:before="200" w:line="260" w:lineRule="atLeast"/>
        <w:jc w:val="both"/>
      </w:pPr>
      <w:bookmarkStart w:id="17" w:name="Bookmark_para_5"/>
      <w:bookmarkEnd w:id="17"/>
      <w:r>
        <w:rPr>
          <w:rFonts w:ascii="Arial" w:eastAsia="Arial" w:hAnsi="Arial" w:cs="Arial"/>
          <w:color w:val="000000"/>
          <w:sz w:val="20"/>
        </w:rPr>
        <w:t>Sherri Ellis and Scott Peters</w:t>
      </w:r>
      <w:r>
        <w:rPr>
          <w:rFonts w:ascii="Arial" w:eastAsia="Arial" w:hAnsi="Arial" w:cs="Arial"/>
          <w:vertAlign w:val="superscript"/>
        </w:rPr>
        <w:footnoteReference w:customMarkFollows="1" w:id="1"/>
        <w:t>1</w:t>
      </w:r>
      <w:r>
        <w:rPr>
          <w:rFonts w:ascii="Arial" w:eastAsia="Arial" w:hAnsi="Arial" w:cs="Arial"/>
          <w:color w:val="000000"/>
          <w:sz w:val="20"/>
        </w:rPr>
        <w:t xml:space="preserve"> entered a sales contract to sell their Alabama home to Dr. John and Cynthia Chambers. The Chamberses ultimately were unable to obtain financing and the deal fell through. The Peterses sold their house to another purchaser for less money than the Chamberses had offered. The Peterses then</w:t>
      </w:r>
      <w:r>
        <w:rPr>
          <w:rFonts w:ascii="Arial" w:eastAsia="Arial" w:hAnsi="Arial" w:cs="Arial"/>
          <w:b/>
          <w:color w:val="000000"/>
          <w:sz w:val="20"/>
        </w:rPr>
        <w:t> </w:t>
      </w:r>
      <w:r>
        <w:rPr>
          <w:rFonts w:ascii="Arial" w:eastAsia="Arial" w:hAnsi="Arial" w:cs="Arial"/>
          <w:color w:val="000000"/>
          <w:sz w:val="20"/>
        </w:rPr>
        <w:t>sued the Chamberses for breach of contract, fraudulent inducement, and fraudulent suppression under Alabama law. The district court granted summary judgment to the Chamberses on all three counts. The district court also denied various motions, which the Peterses take issue with on appeal. After review, we affirm.</w:t>
      </w:r>
    </w:p>
    <w:p w14:paraId="37286F5F" w14:textId="77777777" w:rsidR="0021716B" w:rsidRDefault="00000000">
      <w:pPr>
        <w:widowControl w:val="0"/>
        <w:spacing w:before="240" w:line="260" w:lineRule="atLeast"/>
      </w:pPr>
      <w:r>
        <w:br/>
      </w:r>
      <w:r>
        <w:rPr>
          <w:rFonts w:ascii="Arial" w:eastAsia="Arial" w:hAnsi="Arial" w:cs="Arial"/>
          <w:b/>
          <w:color w:val="000000"/>
          <w:sz w:val="20"/>
        </w:rPr>
        <w:t>I. BACKGROUND</w:t>
      </w:r>
    </w:p>
    <w:p w14:paraId="254570C5" w14:textId="6842910C" w:rsidR="0021716B" w:rsidRDefault="00000000">
      <w:pPr>
        <w:widowControl w:val="0"/>
        <w:spacing w:before="200" w:line="260" w:lineRule="atLeast"/>
        <w:jc w:val="both"/>
      </w:pPr>
      <w:bookmarkStart w:id="19" w:name="Bookmark_para_6"/>
      <w:bookmarkEnd w:id="19"/>
      <w:r>
        <w:rPr>
          <w:rFonts w:ascii="Arial" w:eastAsia="Arial" w:hAnsi="Arial" w:cs="Arial"/>
          <w:color w:val="000000"/>
          <w:sz w:val="20"/>
        </w:rPr>
        <w:t xml:space="preserve">In 2018, the Alabama Bone and Joint Clinic ("ABJC"), along with Shelby Baptist Hospital ("the Hospital"), recruited Dr. John Chambers, a spine surgeon, to relocate his practice from Indiana to Birmingham, </w:t>
      </w:r>
      <w:r>
        <w:rPr>
          <w:rFonts w:ascii="Arial" w:eastAsia="Arial" w:hAnsi="Arial" w:cs="Arial"/>
          <w:color w:val="000000"/>
          <w:sz w:val="20"/>
        </w:rPr>
        <w:lastRenderedPageBreak/>
        <w:t xml:space="preserve">Alabama. Dr. Chambers engaged in various discussions with Dr. Daryl Dykes, a principal of ABJC, to discuss the terms of the proposed joint venture. During the recruitment process the Chamberses worked with Kim Barelare, a licensed </w:t>
      </w:r>
      <w:r>
        <w:rPr>
          <w:rFonts w:ascii="Arial" w:eastAsia="Arial" w:hAnsi="Arial" w:cs="Arial"/>
          <w:b/>
          <w:i/>
          <w:color w:val="000000"/>
          <w:sz w:val="20"/>
          <w:u w:val="single"/>
        </w:rPr>
        <w:t>real estate</w:t>
      </w:r>
      <w:r>
        <w:rPr>
          <w:rFonts w:ascii="Arial" w:eastAsia="Arial" w:hAnsi="Arial" w:cs="Arial"/>
          <w:color w:val="000000"/>
          <w:sz w:val="20"/>
        </w:rPr>
        <w:t xml:space="preserve"> agent, then affiliated with LAH </w:t>
      </w:r>
      <w:r>
        <w:rPr>
          <w:rFonts w:ascii="Arial" w:eastAsia="Arial" w:hAnsi="Arial" w:cs="Arial"/>
          <w:b/>
          <w:i/>
          <w:color w:val="000000"/>
          <w:sz w:val="20"/>
          <w:u w:val="single"/>
        </w:rPr>
        <w:t>Real Estate</w:t>
      </w:r>
      <w:r>
        <w:rPr>
          <w:rFonts w:ascii="Arial" w:eastAsia="Arial" w:hAnsi="Arial" w:cs="Arial"/>
          <w:color w:val="000000"/>
          <w:sz w:val="20"/>
        </w:rPr>
        <w:t xml:space="preserve"> ("LAH"), to find a home in Alabama. </w:t>
      </w:r>
    </w:p>
    <w:p w14:paraId="74040690" w14:textId="3F1F76D5" w:rsidR="0021716B" w:rsidRDefault="00000000">
      <w:pPr>
        <w:widowControl w:val="0"/>
        <w:spacing w:before="200" w:line="260" w:lineRule="atLeast"/>
        <w:jc w:val="both"/>
      </w:pPr>
      <w:bookmarkStart w:id="20" w:name="Bookmark_para_7"/>
      <w:bookmarkEnd w:id="20"/>
      <w:r>
        <w:rPr>
          <w:rFonts w:ascii="Arial" w:eastAsia="Arial" w:hAnsi="Arial" w:cs="Arial"/>
          <w:color w:val="000000"/>
          <w:sz w:val="20"/>
        </w:rPr>
        <w:t>After communications with Dr. Dykes and others at ABJC, Dr. Chambers signed a Letter of Intent ("LOI") in January 2019. The LOI outlined the basic terms of the joint venture with ABJC and stated that the terms were subject to a "Definitive Agreement" with the Hospital. Dr. Chambers received the ABJC employment contract on February 4, 2019, and ABJC informed him that the agreement was "contingent upon execution of" a forthcoming agreement with the Hospital, which would provide "more details" related to various other employment terms.</w:t>
      </w:r>
    </w:p>
    <w:p w14:paraId="597CA9B6" w14:textId="77777777" w:rsidR="0021716B" w:rsidRDefault="00000000">
      <w:pPr>
        <w:widowControl w:val="0"/>
        <w:spacing w:before="200" w:line="260" w:lineRule="atLeast"/>
        <w:jc w:val="both"/>
      </w:pPr>
      <w:bookmarkStart w:id="21" w:name="Bookmark_para_8"/>
      <w:bookmarkEnd w:id="21"/>
      <w:r>
        <w:rPr>
          <w:rFonts w:ascii="Arial" w:eastAsia="Arial" w:hAnsi="Arial" w:cs="Arial"/>
          <w:color w:val="000000"/>
          <w:sz w:val="20"/>
        </w:rPr>
        <w:t>Dr. Dykes testified that during the period of negotiations, he discussed the "basic" terms that the Hospital agreement would contain, including that the agreement would contain the "[m]ain components of th[e] Letter of Intent."</w:t>
      </w:r>
    </w:p>
    <w:p w14:paraId="1E879E6F" w14:textId="77777777" w:rsidR="0021716B" w:rsidRDefault="00000000">
      <w:pPr>
        <w:widowControl w:val="0"/>
        <w:spacing w:before="200" w:line="260" w:lineRule="atLeast"/>
        <w:jc w:val="both"/>
      </w:pPr>
      <w:bookmarkStart w:id="22" w:name="Bookmark_para_9"/>
      <w:bookmarkEnd w:id="22"/>
      <w:r>
        <w:rPr>
          <w:rFonts w:ascii="Arial" w:eastAsia="Arial" w:hAnsi="Arial" w:cs="Arial"/>
          <w:color w:val="000000"/>
          <w:sz w:val="20"/>
        </w:rPr>
        <w:t xml:space="preserve">Sherri Ellis and Scott Peters, represented by their </w:t>
      </w:r>
      <w:r w:rsidRPr="00BD217F">
        <w:rPr>
          <w:rFonts w:ascii="Arial" w:eastAsia="Arial" w:hAnsi="Arial" w:cs="Arial"/>
          <w:bCs/>
          <w:iCs/>
          <w:color w:val="000000"/>
          <w:sz w:val="20"/>
        </w:rPr>
        <w:t>real estate</w:t>
      </w:r>
      <w:r>
        <w:rPr>
          <w:rFonts w:ascii="Arial" w:eastAsia="Arial" w:hAnsi="Arial" w:cs="Arial"/>
          <w:color w:val="000000"/>
          <w:sz w:val="20"/>
        </w:rPr>
        <w:t xml:space="preserve"> agent, Melvin Upchurch, had a home for sale in Birmingham. On or about April 11, 2019, Ms. Barelare informed Mr. Upchurch that she had a potential buyer, Dr. Chambers, who was pre-approved for a mortgage and interested in the home but could not make an offer until he had secured satisfactory employment arrangements.</w:t>
      </w:r>
    </w:p>
    <w:p w14:paraId="53D5D0B4" w14:textId="29E846B6" w:rsidR="0021716B" w:rsidRDefault="00000000">
      <w:pPr>
        <w:widowControl w:val="0"/>
        <w:spacing w:before="200" w:line="260" w:lineRule="atLeast"/>
        <w:jc w:val="both"/>
      </w:pPr>
      <w:bookmarkStart w:id="23" w:name="Bookmark_para_10"/>
      <w:bookmarkEnd w:id="23"/>
      <w:r>
        <w:rPr>
          <w:rFonts w:ascii="Arial" w:eastAsia="Arial" w:hAnsi="Arial" w:cs="Arial"/>
          <w:color w:val="000000"/>
          <w:sz w:val="20"/>
        </w:rPr>
        <w:t>Dr. Chambers orally accepted an updated LOI in April 2019,</w:t>
      </w:r>
      <w:r>
        <w:rPr>
          <w:rFonts w:ascii="Arial" w:eastAsia="Arial" w:hAnsi="Arial" w:cs="Arial"/>
          <w:vertAlign w:val="superscript"/>
        </w:rPr>
        <w:footnoteReference w:customMarkFollows="1" w:id="2"/>
        <w:t>3</w:t>
      </w:r>
      <w:r>
        <w:rPr>
          <w:rFonts w:ascii="Arial" w:eastAsia="Arial" w:hAnsi="Arial" w:cs="Arial"/>
          <w:color w:val="000000"/>
          <w:sz w:val="20"/>
        </w:rPr>
        <w:t xml:space="preserve"> gave written notice of resignation to his practice in Indiana, and applied for his Alabama medical license and privileges at the Hospital.</w:t>
      </w:r>
      <w:r>
        <w:rPr>
          <w:rFonts w:ascii="Arial" w:eastAsia="Arial" w:hAnsi="Arial" w:cs="Arial"/>
          <w:b/>
          <w:color w:val="000000"/>
          <w:sz w:val="20"/>
        </w:rPr>
        <w:t> </w:t>
      </w:r>
      <w:r>
        <w:rPr>
          <w:rFonts w:ascii="Arial" w:eastAsia="Arial" w:hAnsi="Arial" w:cs="Arial"/>
          <w:color w:val="000000"/>
          <w:sz w:val="20"/>
        </w:rPr>
        <w:t xml:space="preserve"> On April 29, 2019, ABJC sent Dr. Chambers an updated employment agreement, which needed to be signed at the same time as the Hospital agreement. Dr. Chambers still had not yet received the Hospital agreement. Sometime in late April 2019, Ms. Barelare informed Mr. Upchurch that Dr. Chambers had made satisfactory employment arrangements in Alabama and was ready to negotiate a sales contract.</w:t>
      </w:r>
    </w:p>
    <w:p w14:paraId="4CB47510" w14:textId="77777777" w:rsidR="0021716B" w:rsidRDefault="00000000">
      <w:pPr>
        <w:widowControl w:val="0"/>
        <w:spacing w:before="200" w:line="260" w:lineRule="atLeast"/>
        <w:jc w:val="both"/>
      </w:pPr>
      <w:bookmarkStart w:id="25" w:name="Bookmark_para_11"/>
      <w:bookmarkEnd w:id="25"/>
      <w:r>
        <w:rPr>
          <w:rFonts w:ascii="Arial" w:eastAsia="Arial" w:hAnsi="Arial" w:cs="Arial"/>
          <w:color w:val="000000"/>
          <w:sz w:val="20"/>
        </w:rPr>
        <w:t xml:space="preserve">On May 5, 2019, Ms. Barelare sent a text message to Mr. Upchurch containing the terms of the Chamberses' offer, including that there would be "[n]o contingencies except </w:t>
      </w:r>
      <w:r>
        <w:rPr>
          <w:rFonts w:ascii="Arial" w:eastAsia="Arial" w:hAnsi="Arial" w:cs="Arial"/>
          <w:color w:val="000000"/>
          <w:sz w:val="20"/>
        </w:rPr>
        <w:t>home inspection. That is all." Mr. Upchurch forwarded this text message to Ms. Ellis the same day, to which Ms. Ellis responded "Ok let me know when you get it in writing. I was always taught it wasn't a contract until in writing . . . . I'll talk to Scott. And let you know." Ms. Barelare testified that she asked Dr. Chambers if he wanted to include an employment contingency in the offer, but Dr. Chambers declined, expressing his desire that the sales contract be simple and clean for the sellers to accept.</w:t>
      </w:r>
    </w:p>
    <w:p w14:paraId="41FBC153" w14:textId="4EED7E72" w:rsidR="0021716B" w:rsidRDefault="00000000">
      <w:pPr>
        <w:widowControl w:val="0"/>
        <w:spacing w:before="200" w:line="260" w:lineRule="atLeast"/>
        <w:jc w:val="both"/>
      </w:pPr>
      <w:bookmarkStart w:id="26" w:name="Bookmark_para_12"/>
      <w:bookmarkEnd w:id="26"/>
      <w:r>
        <w:rPr>
          <w:rFonts w:ascii="Arial" w:eastAsia="Arial" w:hAnsi="Arial" w:cs="Arial"/>
          <w:color w:val="000000"/>
          <w:sz w:val="20"/>
        </w:rPr>
        <w:t>On May 11, 2019, following a period of negotiations, the parties entered a sales contract, in which the Chamberses agreed to purchase</w:t>
      </w:r>
      <w:r>
        <w:rPr>
          <w:rFonts w:ascii="Arial" w:eastAsia="Arial" w:hAnsi="Arial" w:cs="Arial"/>
          <w:b/>
          <w:color w:val="000000"/>
          <w:sz w:val="20"/>
        </w:rPr>
        <w:t> </w:t>
      </w:r>
      <w:r>
        <w:rPr>
          <w:rFonts w:ascii="Arial" w:eastAsia="Arial" w:hAnsi="Arial" w:cs="Arial"/>
          <w:color w:val="000000"/>
          <w:sz w:val="20"/>
        </w:rPr>
        <w:t xml:space="preserve">the Peterses' house for $1.9 million along with $60,000.00 worth of furniture. In addition to the home inspection contingency, the sales contract included a </w:t>
      </w:r>
      <w:r w:rsidRPr="00B46429">
        <w:rPr>
          <w:rFonts w:ascii="Arial" w:eastAsia="Arial" w:hAnsi="Arial" w:cs="Arial"/>
          <w:bCs/>
          <w:iCs/>
          <w:color w:val="000000"/>
          <w:sz w:val="20"/>
        </w:rPr>
        <w:t>financing contingency</w:t>
      </w:r>
      <w:r>
        <w:rPr>
          <w:rFonts w:ascii="Arial" w:eastAsia="Arial" w:hAnsi="Arial" w:cs="Arial"/>
          <w:color w:val="000000"/>
          <w:sz w:val="20"/>
        </w:rPr>
        <w:t xml:space="preserve"> allowing either party to cancel the contract if the Chamberses could not obtain financing by the date of closing. The sales contract specified a closing date of June 28, 2019.</w:t>
      </w:r>
    </w:p>
    <w:p w14:paraId="7234772C" w14:textId="77777777" w:rsidR="0021716B" w:rsidRDefault="00000000">
      <w:pPr>
        <w:widowControl w:val="0"/>
        <w:spacing w:before="200" w:line="260" w:lineRule="atLeast"/>
        <w:jc w:val="both"/>
      </w:pPr>
      <w:bookmarkStart w:id="27" w:name="Bookmark_para_13"/>
      <w:bookmarkEnd w:id="27"/>
      <w:r>
        <w:rPr>
          <w:rFonts w:ascii="Arial" w:eastAsia="Arial" w:hAnsi="Arial" w:cs="Arial"/>
          <w:color w:val="000000"/>
          <w:sz w:val="20"/>
        </w:rPr>
        <w:t>The Chamberses applied for a conventional mortgage loan. Their mortgage application was approved subject to several conditions, including receipt of "proof [that] the Definitive Agreement with [Dr. Chambers's] new employer has been fully executed and . . . [a] letter from [the] new employer stating all contingencies have been met."</w:t>
      </w:r>
    </w:p>
    <w:p w14:paraId="61CCD402" w14:textId="380243DF" w:rsidR="0021716B" w:rsidRDefault="00000000">
      <w:pPr>
        <w:widowControl w:val="0"/>
        <w:spacing w:before="200" w:line="260" w:lineRule="atLeast"/>
        <w:jc w:val="both"/>
      </w:pPr>
      <w:bookmarkStart w:id="28" w:name="Bookmark_para_14"/>
      <w:bookmarkEnd w:id="28"/>
      <w:r>
        <w:rPr>
          <w:rFonts w:ascii="Arial" w:eastAsia="Arial" w:hAnsi="Arial" w:cs="Arial"/>
          <w:color w:val="000000"/>
          <w:sz w:val="20"/>
        </w:rPr>
        <w:t>In early June 2019, Dr. Chambers was informed that the Hospital General Counsel was finalizing the Hospital agreement. Given the delay, Dr. Chambers then applied for a home equity line of credit that would serve as a "bridge loan." Dr. Chambers was conditionally approved for the bridge loan, which was contingent on verification of Alabama employment and certification. He understood that this loan would facilitate a faster closing allowing the Chamberses to refinance the loan with a conventional mortgage at a</w:t>
      </w:r>
      <w:r>
        <w:rPr>
          <w:rFonts w:ascii="Arial" w:eastAsia="Arial" w:hAnsi="Arial" w:cs="Arial"/>
          <w:b/>
          <w:color w:val="000000"/>
          <w:sz w:val="20"/>
        </w:rPr>
        <w:t> </w:t>
      </w:r>
      <w:r>
        <w:rPr>
          <w:rFonts w:ascii="Arial" w:eastAsia="Arial" w:hAnsi="Arial" w:cs="Arial"/>
          <w:color w:val="000000"/>
          <w:sz w:val="20"/>
        </w:rPr>
        <w:t xml:space="preserve"> later date.</w:t>
      </w:r>
    </w:p>
    <w:p w14:paraId="09EE48D7" w14:textId="77777777" w:rsidR="0021716B" w:rsidRDefault="00000000">
      <w:pPr>
        <w:widowControl w:val="0"/>
        <w:spacing w:before="200" w:line="260" w:lineRule="atLeast"/>
        <w:jc w:val="both"/>
      </w:pPr>
      <w:bookmarkStart w:id="29" w:name="Bookmark_para_15"/>
      <w:bookmarkEnd w:id="29"/>
      <w:r>
        <w:rPr>
          <w:rFonts w:ascii="Arial" w:eastAsia="Arial" w:hAnsi="Arial" w:cs="Arial"/>
          <w:color w:val="000000"/>
          <w:sz w:val="20"/>
        </w:rPr>
        <w:t>Dr. Chambers received the Hospital's Definitive Agreement on or around June 17, 2019, at which time he forwarded it to his attorney for review. Dr. Chambers took issue with several terms in the Hospital agreement, including restrictions on his ability to transfer to another orthopedic practice in Birmingham if the ABJC joint venture fell through.</w:t>
      </w:r>
      <w:r>
        <w:rPr>
          <w:rFonts w:ascii="Arial" w:eastAsia="Arial" w:hAnsi="Arial" w:cs="Arial"/>
          <w:vertAlign w:val="superscript"/>
        </w:rPr>
        <w:footnoteReference w:customMarkFollows="1" w:id="3"/>
        <w:t>4</w:t>
      </w:r>
      <w:r>
        <w:rPr>
          <w:rFonts w:ascii="Arial" w:eastAsia="Arial" w:hAnsi="Arial" w:cs="Arial"/>
          <w:color w:val="000000"/>
          <w:sz w:val="20"/>
        </w:rPr>
        <w:t xml:space="preserve"> As a result, Dr. Chambers did not sign the employment agreements before the agreed upon </w:t>
      </w:r>
      <w:r>
        <w:rPr>
          <w:rFonts w:ascii="Arial" w:eastAsia="Arial" w:hAnsi="Arial" w:cs="Arial"/>
          <w:color w:val="000000"/>
          <w:sz w:val="20"/>
        </w:rPr>
        <w:lastRenderedPageBreak/>
        <w:t>closing date and thus could not obtain financing.</w:t>
      </w:r>
      <w:r>
        <w:rPr>
          <w:rFonts w:ascii="Arial" w:eastAsia="Arial" w:hAnsi="Arial" w:cs="Arial"/>
          <w:vertAlign w:val="superscript"/>
        </w:rPr>
        <w:footnoteReference w:customMarkFollows="1" w:id="4"/>
        <w:t>5</w:t>
      </w:r>
    </w:p>
    <w:p w14:paraId="156D1A1A" w14:textId="77777777" w:rsidR="0021716B" w:rsidRDefault="00000000">
      <w:pPr>
        <w:widowControl w:val="0"/>
        <w:spacing w:before="200" w:line="260" w:lineRule="atLeast"/>
        <w:jc w:val="both"/>
      </w:pPr>
      <w:bookmarkStart w:id="32" w:name="Bookmark_para_16"/>
      <w:bookmarkEnd w:id="32"/>
      <w:r>
        <w:rPr>
          <w:rFonts w:ascii="Arial" w:eastAsia="Arial" w:hAnsi="Arial" w:cs="Arial"/>
          <w:color w:val="000000"/>
          <w:sz w:val="20"/>
        </w:rPr>
        <w:t>The Chamberses paid the Peterses a nonrefundable $5,000.00 deposit in consideration for a two-week extension of the closing date so Dr. Chambers could continue to negotiate the employment agreements. However, Dr. Chambers did not reach an agreement with the Hospital so the Chamberses failed to obtain financing for a second time. The Peterses sold their house to another buyer for $1.8 million. Dr. Chambers, after unsuccessfully attempting to negotiate the terms of the employment agreements, returned to his practice in Indiana.</w:t>
      </w:r>
    </w:p>
    <w:p w14:paraId="158F218D" w14:textId="59E23EA3" w:rsidR="0021716B" w:rsidRPr="00EB3BD1" w:rsidRDefault="00000000">
      <w:pPr>
        <w:widowControl w:val="0"/>
        <w:spacing w:before="200" w:line="260" w:lineRule="atLeast"/>
        <w:jc w:val="both"/>
        <w:rPr>
          <w:b/>
          <w:bCs/>
          <w:sz w:val="32"/>
          <w:szCs w:val="32"/>
        </w:rPr>
      </w:pPr>
      <w:bookmarkStart w:id="33" w:name="Bookmark_para_17"/>
      <w:bookmarkEnd w:id="33"/>
      <w:r>
        <w:rPr>
          <w:rFonts w:ascii="Arial" w:eastAsia="Arial" w:hAnsi="Arial" w:cs="Arial"/>
          <w:color w:val="000000"/>
          <w:sz w:val="20"/>
        </w:rPr>
        <w:t>The Peterses then filed a suit for breach of contract in Alabama state court, alleging that the Chamberses breached the sales contract when they refused to close on the sale</w:t>
      </w:r>
      <w:r>
        <w:rPr>
          <w:rFonts w:ascii="Arial" w:eastAsia="Arial" w:hAnsi="Arial" w:cs="Arial"/>
          <w:b/>
          <w:color w:val="000000"/>
          <w:sz w:val="20"/>
        </w:rPr>
        <w:t> </w:t>
      </w:r>
      <w:r>
        <w:rPr>
          <w:rFonts w:ascii="Arial" w:eastAsia="Arial" w:hAnsi="Arial" w:cs="Arial"/>
          <w:color w:val="000000"/>
          <w:sz w:val="20"/>
        </w:rPr>
        <w:t>of the Peterses' home</w:t>
      </w:r>
      <w:r w:rsidR="00B20A1B">
        <w:rPr>
          <w:rFonts w:ascii="Arial" w:eastAsia="Arial" w:hAnsi="Arial" w:cs="Arial"/>
          <w:color w:val="000000"/>
          <w:sz w:val="20"/>
        </w:rPr>
        <w:t>.</w:t>
      </w:r>
    </w:p>
    <w:p w14:paraId="2F06EA5A" w14:textId="7CA0E828" w:rsidR="0021716B" w:rsidRDefault="00000000">
      <w:pPr>
        <w:widowControl w:val="0"/>
        <w:spacing w:before="200" w:line="260" w:lineRule="atLeast"/>
        <w:jc w:val="both"/>
      </w:pPr>
      <w:bookmarkStart w:id="34" w:name="Bookmark_para_18"/>
      <w:bookmarkEnd w:id="34"/>
      <w:r>
        <w:rPr>
          <w:rFonts w:ascii="Arial" w:eastAsia="Arial" w:hAnsi="Arial" w:cs="Arial"/>
          <w:color w:val="000000"/>
          <w:sz w:val="20"/>
        </w:rPr>
        <w:t xml:space="preserve">The Chamberses moved for summary judgment and the district court granted the motion on all counts. With respect to their breach of contract claim, the district court found that the Chamberses made a reasonable, </w:t>
      </w:r>
      <w:r>
        <w:rPr>
          <w:rFonts w:ascii="Arial" w:eastAsia="Arial" w:hAnsi="Arial" w:cs="Arial"/>
          <w:b/>
          <w:i/>
          <w:color w:val="000000"/>
          <w:sz w:val="20"/>
          <w:u w:val="single"/>
        </w:rPr>
        <w:t>good faith</w:t>
      </w:r>
      <w:r>
        <w:rPr>
          <w:rFonts w:ascii="Arial" w:eastAsia="Arial" w:hAnsi="Arial" w:cs="Arial"/>
          <w:color w:val="000000"/>
          <w:sz w:val="20"/>
        </w:rPr>
        <w:t xml:space="preserve"> effort to obtain financing. </w:t>
      </w:r>
    </w:p>
    <w:p w14:paraId="1FD94F50" w14:textId="3F9E546C" w:rsidR="0021716B" w:rsidRDefault="00000000">
      <w:pPr>
        <w:widowControl w:val="0"/>
        <w:spacing w:before="240" w:line="260" w:lineRule="atLeast"/>
      </w:pPr>
      <w:bookmarkStart w:id="35" w:name="Bookmark_para_19"/>
      <w:bookmarkStart w:id="36" w:name="Bookmark_para_20"/>
      <w:bookmarkEnd w:id="35"/>
      <w:bookmarkEnd w:id="36"/>
      <w:r>
        <w:rPr>
          <w:rFonts w:ascii="Arial" w:eastAsia="Arial" w:hAnsi="Arial" w:cs="Arial"/>
          <w:b/>
          <w:color w:val="000000"/>
          <w:sz w:val="20"/>
        </w:rPr>
        <w:t>II. DISCUSSION</w:t>
      </w:r>
    </w:p>
    <w:p w14:paraId="6EC467CE" w14:textId="77777777" w:rsidR="0021716B" w:rsidRDefault="00000000">
      <w:pPr>
        <w:widowControl w:val="0"/>
        <w:spacing w:before="240" w:line="260" w:lineRule="atLeast"/>
      </w:pPr>
      <w:r>
        <w:br/>
      </w:r>
      <w:r>
        <w:rPr>
          <w:rFonts w:ascii="Arial" w:eastAsia="Arial" w:hAnsi="Arial" w:cs="Arial"/>
          <w:i/>
          <w:color w:val="000000"/>
          <w:sz w:val="20"/>
        </w:rPr>
        <w:t>A. Summary Judgment</w:t>
      </w:r>
    </w:p>
    <w:p w14:paraId="4F272A11" w14:textId="77777777" w:rsidR="0021716B" w:rsidRDefault="00000000">
      <w:pPr>
        <w:widowControl w:val="0"/>
        <w:spacing w:before="120" w:line="260" w:lineRule="atLeast"/>
      </w:pPr>
      <w:bookmarkStart w:id="37" w:name="Bookmark_para_22"/>
      <w:bookmarkStart w:id="38" w:name="Bookmark_I6758C1H2N1PP20020000400"/>
      <w:bookmarkStart w:id="39" w:name="Bookmark_I6758C1H2N1PP20040000400"/>
      <w:bookmarkStart w:id="40" w:name="Bookmark_LNHNREFclscc1"/>
      <w:bookmarkEnd w:id="37"/>
      <w:bookmarkEnd w:id="38"/>
      <w:bookmarkEnd w:id="39"/>
      <w:bookmarkEnd w:id="40"/>
      <w:r>
        <w:rPr>
          <w:rFonts w:ascii="Arial" w:eastAsia="Arial" w:hAnsi="Arial" w:cs="Arial"/>
          <w:color w:val="000000"/>
          <w:sz w:val="20"/>
        </w:rPr>
        <w:t>1. Breach of Contract</w:t>
      </w:r>
    </w:p>
    <w:p w14:paraId="2C85B8CD" w14:textId="31F39F7B" w:rsidR="0021716B" w:rsidRDefault="00294799">
      <w:pPr>
        <w:widowControl w:val="0"/>
        <w:spacing w:before="240" w:line="260" w:lineRule="atLeast"/>
        <w:jc w:val="both"/>
      </w:pPr>
      <w:bookmarkStart w:id="41" w:name="Bookmark_para_23"/>
      <w:bookmarkStart w:id="42" w:name="Bookmark_I6758C1H2SF8PC0010000400"/>
      <w:bookmarkStart w:id="43" w:name="Bookmark_LNHNREFclscc2"/>
      <w:bookmarkEnd w:id="41"/>
      <w:bookmarkEnd w:id="42"/>
      <w:bookmarkEnd w:id="43"/>
      <w:r>
        <w:rPr>
          <w:rFonts w:ascii="Arial" w:eastAsia="Arial" w:hAnsi="Arial" w:cs="Arial"/>
          <w:color w:val="000000"/>
          <w:sz w:val="20"/>
        </w:rPr>
        <w:t>I</w:t>
      </w:r>
      <w:r w:rsidR="00000000">
        <w:rPr>
          <w:rFonts w:ascii="Arial" w:eastAsia="Arial" w:hAnsi="Arial" w:cs="Arial"/>
          <w:color w:val="000000"/>
          <w:sz w:val="20"/>
        </w:rPr>
        <w:t xml:space="preserve">n order to prevail on their breach of contract claim, the Peterses must prove these elements: "(1) the existence of a valid contract binding the parties in the action, (2) [their] own performance under the contract, (3) the defendant[s'] nonperformance, and (4) damages." </w:t>
      </w:r>
      <w:bookmarkStart w:id="44" w:name="Bookmark_I6758C1H2N1PP20050000400"/>
      <w:bookmarkEnd w:id="44"/>
    </w:p>
    <w:p w14:paraId="210F5628" w14:textId="6FFE6065" w:rsidR="0021716B" w:rsidRDefault="00000000">
      <w:pPr>
        <w:widowControl w:val="0"/>
        <w:spacing w:before="240" w:line="260" w:lineRule="atLeast"/>
        <w:jc w:val="both"/>
      </w:pPr>
      <w:bookmarkStart w:id="45" w:name="Bookmark_para_24"/>
      <w:bookmarkStart w:id="46" w:name="Bookmark_I6758C1H2SF8PC0030000400"/>
      <w:bookmarkStart w:id="47" w:name="Bookmark_I6758C1H2SF8PC0050000400"/>
      <w:bookmarkStart w:id="48" w:name="Bookmark_I6758C1J2N1PPH0020000400"/>
      <w:bookmarkStart w:id="49" w:name="Bookmark_LNHNREFclscc3"/>
      <w:bookmarkEnd w:id="45"/>
      <w:bookmarkEnd w:id="46"/>
      <w:bookmarkEnd w:id="47"/>
      <w:bookmarkEnd w:id="48"/>
      <w:bookmarkEnd w:id="49"/>
      <w:r>
        <w:rPr>
          <w:rFonts w:ascii="Arial" w:eastAsia="Arial" w:hAnsi="Arial" w:cs="Arial"/>
          <w:color w:val="000000"/>
          <w:sz w:val="20"/>
        </w:rPr>
        <w:t>[C]ontract provision[s] making the contract subject to the procurement of a loan to finance the purchase price are</w:t>
      </w:r>
      <w:r>
        <w:rPr>
          <w:rFonts w:ascii="Arial" w:eastAsia="Arial" w:hAnsi="Arial" w:cs="Arial"/>
          <w:b/>
          <w:color w:val="000000"/>
          <w:sz w:val="20"/>
        </w:rPr>
        <w:t> </w:t>
      </w:r>
      <w:r>
        <w:rPr>
          <w:rFonts w:ascii="Arial" w:eastAsia="Arial" w:hAnsi="Arial" w:cs="Arial"/>
          <w:color w:val="000000"/>
          <w:sz w:val="20"/>
        </w:rPr>
        <w:t>valid condition[s] precedent to performance</w:t>
      </w:r>
      <w:r w:rsidR="00294799">
        <w:rPr>
          <w:rFonts w:ascii="Arial" w:eastAsia="Arial" w:hAnsi="Arial" w:cs="Arial"/>
          <w:color w:val="000000"/>
          <w:sz w:val="20"/>
        </w:rPr>
        <w:t xml:space="preserve">. </w:t>
      </w:r>
      <w:r>
        <w:rPr>
          <w:rFonts w:ascii="Arial" w:eastAsia="Arial" w:hAnsi="Arial" w:cs="Arial"/>
          <w:color w:val="000000"/>
          <w:sz w:val="20"/>
        </w:rPr>
        <w:t xml:space="preserve">Implicit in this condition is the purchaser's "duty to attempt to obtain financing through a reasonable </w:t>
      </w:r>
      <w:r w:rsidRPr="00F57201">
        <w:rPr>
          <w:rFonts w:ascii="Arial" w:eastAsia="Arial" w:hAnsi="Arial" w:cs="Arial"/>
          <w:bCs/>
          <w:iCs/>
          <w:color w:val="000000"/>
          <w:sz w:val="20"/>
        </w:rPr>
        <w:t>good</w:t>
      </w:r>
      <w:r>
        <w:rPr>
          <w:rFonts w:ascii="Arial" w:eastAsia="Arial" w:hAnsi="Arial" w:cs="Arial"/>
          <w:b/>
          <w:i/>
          <w:color w:val="000000"/>
          <w:sz w:val="20"/>
          <w:u w:val="single"/>
        </w:rPr>
        <w:t xml:space="preserve"> </w:t>
      </w:r>
      <w:r w:rsidRPr="00F57201">
        <w:rPr>
          <w:rFonts w:ascii="Arial" w:eastAsia="Arial" w:hAnsi="Arial" w:cs="Arial"/>
          <w:bCs/>
          <w:iCs/>
          <w:color w:val="000000"/>
          <w:sz w:val="20"/>
        </w:rPr>
        <w:t>faith</w:t>
      </w:r>
      <w:r>
        <w:rPr>
          <w:rFonts w:ascii="Arial" w:eastAsia="Arial" w:hAnsi="Arial" w:cs="Arial"/>
          <w:color w:val="000000"/>
          <w:sz w:val="20"/>
        </w:rPr>
        <w:t xml:space="preserve"> effort." </w:t>
      </w:r>
      <w:r>
        <w:rPr>
          <w:rFonts w:ascii="Arial" w:eastAsia="Arial" w:hAnsi="Arial" w:cs="Arial"/>
          <w:i/>
          <w:color w:val="000000"/>
          <w:sz w:val="20"/>
        </w:rPr>
        <w:t>Id.</w:t>
      </w:r>
      <w:r>
        <w:rPr>
          <w:rFonts w:ascii="Arial" w:eastAsia="Arial" w:hAnsi="Arial" w:cs="Arial"/>
          <w:color w:val="000000"/>
          <w:sz w:val="20"/>
        </w:rPr>
        <w:t xml:space="preserve"> </w:t>
      </w:r>
      <w:bookmarkStart w:id="50" w:name="Bookmark_I6758C1J2N1PPH0040000400"/>
      <w:bookmarkEnd w:id="50"/>
      <w:r w:rsidR="00F57201">
        <w:rPr>
          <w:rFonts w:ascii="Arial" w:eastAsia="Arial" w:hAnsi="Arial" w:cs="Arial"/>
          <w:color w:val="000000"/>
          <w:sz w:val="20"/>
        </w:rPr>
        <w:t>W</w:t>
      </w:r>
      <w:r>
        <w:rPr>
          <w:rFonts w:ascii="Arial" w:eastAsia="Arial" w:hAnsi="Arial" w:cs="Arial"/>
          <w:color w:val="000000"/>
          <w:sz w:val="20"/>
        </w:rPr>
        <w:t>hen a contract makes securing financing a condition precedent to its performance, neither the contract nor any of its provisions become binding obligations unless and until financing is obtained</w:t>
      </w:r>
      <w:bookmarkStart w:id="51" w:name="Bookmark_I6758C1J2N1PPH0040000400_2"/>
      <w:bookmarkEnd w:id="51"/>
      <w:r w:rsidR="00F57201">
        <w:rPr>
          <w:rFonts w:ascii="Arial" w:eastAsia="Arial" w:hAnsi="Arial" w:cs="Arial"/>
          <w:color w:val="000000"/>
          <w:sz w:val="20"/>
        </w:rPr>
        <w:t xml:space="preserve">. </w:t>
      </w:r>
      <w:r>
        <w:rPr>
          <w:rFonts w:ascii="Arial" w:eastAsia="Arial" w:hAnsi="Arial" w:cs="Arial"/>
          <w:color w:val="000000"/>
          <w:sz w:val="20"/>
        </w:rPr>
        <w:t xml:space="preserve">Conditional approval for a loan does not satisfy a </w:t>
      </w:r>
      <w:r w:rsidRPr="00F57201">
        <w:rPr>
          <w:rFonts w:ascii="Arial" w:eastAsia="Arial" w:hAnsi="Arial" w:cs="Arial"/>
          <w:bCs/>
          <w:iCs/>
          <w:color w:val="000000"/>
          <w:sz w:val="20"/>
        </w:rPr>
        <w:t>financing contingency</w:t>
      </w:r>
      <w:r>
        <w:rPr>
          <w:rFonts w:ascii="Arial" w:eastAsia="Arial" w:hAnsi="Arial" w:cs="Arial"/>
          <w:color w:val="000000"/>
          <w:sz w:val="20"/>
        </w:rPr>
        <w:t>..</w:t>
      </w:r>
    </w:p>
    <w:p w14:paraId="64691385" w14:textId="60774E35" w:rsidR="0021716B" w:rsidRDefault="00000000">
      <w:pPr>
        <w:widowControl w:val="0"/>
        <w:spacing w:before="200" w:line="260" w:lineRule="atLeast"/>
        <w:jc w:val="both"/>
      </w:pPr>
      <w:bookmarkStart w:id="52" w:name="Bookmark_para_25"/>
      <w:bookmarkStart w:id="53" w:name="Bookmark_I6758C1J2HM6GX0010000400"/>
      <w:bookmarkEnd w:id="52"/>
      <w:bookmarkEnd w:id="53"/>
      <w:r>
        <w:rPr>
          <w:rFonts w:ascii="Arial" w:eastAsia="Arial" w:hAnsi="Arial" w:cs="Arial"/>
          <w:color w:val="000000"/>
          <w:sz w:val="20"/>
        </w:rPr>
        <w:t xml:space="preserve">First, it is clear under the plain language of the home purchase contract that the </w:t>
      </w:r>
      <w:r w:rsidRPr="008407D6">
        <w:rPr>
          <w:rFonts w:ascii="Arial" w:eastAsia="Arial" w:hAnsi="Arial" w:cs="Arial"/>
          <w:bCs/>
          <w:iCs/>
          <w:color w:val="000000"/>
          <w:sz w:val="20"/>
        </w:rPr>
        <w:t>financing contingency</w:t>
      </w:r>
      <w:r>
        <w:rPr>
          <w:rFonts w:ascii="Arial" w:eastAsia="Arial" w:hAnsi="Arial" w:cs="Arial"/>
          <w:color w:val="000000"/>
          <w:sz w:val="20"/>
        </w:rPr>
        <w:t xml:space="preserve"> was not satisfied. The Chamberses indisputably did not obtain financing by the date of closing and did not waive the </w:t>
      </w:r>
      <w:r w:rsidRPr="008407D6">
        <w:rPr>
          <w:rFonts w:ascii="Arial" w:eastAsia="Arial" w:hAnsi="Arial" w:cs="Arial"/>
          <w:bCs/>
          <w:iCs/>
          <w:color w:val="000000"/>
          <w:sz w:val="20"/>
        </w:rPr>
        <w:t>financing contingency</w:t>
      </w:r>
      <w:r>
        <w:rPr>
          <w:rFonts w:ascii="Arial" w:eastAsia="Arial" w:hAnsi="Arial" w:cs="Arial"/>
          <w:color w:val="000000"/>
          <w:sz w:val="20"/>
        </w:rPr>
        <w:t xml:space="preserve">. The issue here, then, is whether the Chamberses fulfilled their "duty to attempt to obtain financing through a reasonable </w:t>
      </w:r>
      <w:r w:rsidRPr="008407D6">
        <w:rPr>
          <w:rFonts w:ascii="Arial" w:eastAsia="Arial" w:hAnsi="Arial" w:cs="Arial"/>
          <w:bCs/>
          <w:iCs/>
          <w:color w:val="000000"/>
          <w:sz w:val="20"/>
        </w:rPr>
        <w:t>good faith</w:t>
      </w:r>
      <w:r>
        <w:rPr>
          <w:rFonts w:ascii="Arial" w:eastAsia="Arial" w:hAnsi="Arial" w:cs="Arial"/>
          <w:color w:val="000000"/>
          <w:sz w:val="20"/>
        </w:rPr>
        <w:t xml:space="preserve"> effort. </w:t>
      </w:r>
      <w:bookmarkStart w:id="54" w:name="Bookmark_I6758C1J2N1PPH0050000400"/>
      <w:bookmarkEnd w:id="54"/>
      <w:r>
        <w:rPr>
          <w:rFonts w:ascii="Arial" w:eastAsia="Arial" w:hAnsi="Arial" w:cs="Arial"/>
          <w:color w:val="000000"/>
          <w:sz w:val="20"/>
        </w:rPr>
        <w:t xml:space="preserve">We agree with the district court that they made a reasonable </w:t>
      </w:r>
      <w:r w:rsidRPr="008407D6">
        <w:rPr>
          <w:rFonts w:ascii="Arial" w:eastAsia="Arial" w:hAnsi="Arial" w:cs="Arial"/>
          <w:bCs/>
          <w:iCs/>
          <w:color w:val="000000"/>
          <w:sz w:val="20"/>
        </w:rPr>
        <w:t>good faith</w:t>
      </w:r>
      <w:r>
        <w:rPr>
          <w:rFonts w:ascii="Arial" w:eastAsia="Arial" w:hAnsi="Arial" w:cs="Arial"/>
          <w:color w:val="000000"/>
          <w:sz w:val="20"/>
        </w:rPr>
        <w:t xml:space="preserve"> effort.</w:t>
      </w:r>
    </w:p>
    <w:p w14:paraId="2E1ED119" w14:textId="1F897B81" w:rsidR="0021716B" w:rsidRDefault="00000000">
      <w:pPr>
        <w:widowControl w:val="0"/>
        <w:spacing w:before="200" w:line="260" w:lineRule="atLeast"/>
        <w:jc w:val="both"/>
      </w:pPr>
      <w:bookmarkStart w:id="55" w:name="Bookmark_para_26"/>
      <w:bookmarkEnd w:id="55"/>
      <w:r>
        <w:rPr>
          <w:rFonts w:ascii="Arial" w:eastAsia="Arial" w:hAnsi="Arial" w:cs="Arial"/>
          <w:color w:val="000000"/>
          <w:sz w:val="20"/>
        </w:rPr>
        <w:t>In the Peterses' view, Dr. Chambers rejected in bad faith the proposed employment agreements from ABJC and the Hospital in an attempt to get out of purchasing the Peterses' home. They contend that the district court improperly determined that Dr. Chambers's receipt of the Hospital agreement, which contained new and unfavorable terms, constituted "an unanticipated change in circumstances" arising only after execution of the home purchase contract to excuse the Chamberses' failure to obtain financing. Instead, they contend that, because Dr. Chambers had "actual knowledge" of the provisions of the Hospital agreement before signing the home purchase contract,</w:t>
      </w:r>
      <w:r>
        <w:rPr>
          <w:rFonts w:ascii="Arial" w:eastAsia="Arial" w:hAnsi="Arial" w:cs="Arial"/>
          <w:vertAlign w:val="superscript"/>
        </w:rPr>
        <w:footnoteReference w:customMarkFollows="1" w:id="5"/>
        <w:t>7</w:t>
      </w:r>
      <w:r>
        <w:rPr>
          <w:rFonts w:ascii="Arial" w:eastAsia="Arial" w:hAnsi="Arial" w:cs="Arial"/>
          <w:color w:val="000000"/>
          <w:sz w:val="20"/>
        </w:rPr>
        <w:t xml:space="preserve"> the Chamberses could not have acted in </w:t>
      </w:r>
      <w:r w:rsidRPr="00D769C0">
        <w:rPr>
          <w:rFonts w:ascii="Arial" w:eastAsia="Arial" w:hAnsi="Arial" w:cs="Arial"/>
          <w:bCs/>
          <w:iCs/>
          <w:color w:val="000000"/>
          <w:sz w:val="20"/>
        </w:rPr>
        <w:t xml:space="preserve">good faith </w:t>
      </w:r>
      <w:r>
        <w:rPr>
          <w:rFonts w:ascii="Arial" w:eastAsia="Arial" w:hAnsi="Arial" w:cs="Arial"/>
          <w:color w:val="000000"/>
          <w:sz w:val="20"/>
        </w:rPr>
        <w:t>in refusing to sign the employment contracts, thus dooming their efforts to obtain financing.</w:t>
      </w:r>
    </w:p>
    <w:p w14:paraId="6F48889E" w14:textId="62980FB7" w:rsidR="0021716B" w:rsidRDefault="00000000">
      <w:pPr>
        <w:widowControl w:val="0"/>
        <w:spacing w:before="240" w:line="260" w:lineRule="atLeast"/>
        <w:jc w:val="both"/>
      </w:pPr>
      <w:bookmarkStart w:id="57" w:name="Bookmark_para_27"/>
      <w:bookmarkStart w:id="58" w:name="Bookmark_I1SKVP2BPSV0000100100006"/>
      <w:bookmarkStart w:id="59" w:name="Bookmark_I6758C1J2HM6GX0030000400"/>
      <w:bookmarkStart w:id="60" w:name="Bookmark_LNHNREFclscc4"/>
      <w:bookmarkEnd w:id="57"/>
      <w:bookmarkEnd w:id="58"/>
      <w:bookmarkEnd w:id="59"/>
      <w:bookmarkEnd w:id="60"/>
      <w:r>
        <w:rPr>
          <w:rFonts w:ascii="Arial" w:eastAsia="Arial" w:hAnsi="Arial" w:cs="Arial"/>
          <w:color w:val="000000"/>
          <w:sz w:val="20"/>
        </w:rPr>
        <w:t xml:space="preserve">The Alabama Supreme Court has found bad faith in two circumstances arising in the context of financing contingencies in home purchase agreements. </w:t>
      </w:r>
      <w:bookmarkStart w:id="61" w:name="Bookmark_I1SKVP2BHDR0000100100003"/>
      <w:bookmarkStart w:id="62" w:name="Bookmark_I6758C1J28T4NC0020000400"/>
      <w:bookmarkEnd w:id="61"/>
      <w:bookmarkEnd w:id="62"/>
      <w:r>
        <w:rPr>
          <w:rFonts w:ascii="Arial" w:eastAsia="Arial" w:hAnsi="Arial" w:cs="Arial"/>
          <w:color w:val="000000"/>
          <w:sz w:val="20"/>
        </w:rPr>
        <w:t xml:space="preserve">First, in </w:t>
      </w:r>
      <w:bookmarkStart w:id="63" w:name="Bookmark_I6758C1J2HM6GX0020000400"/>
      <w:bookmarkEnd w:id="63"/>
      <w:r>
        <w:fldChar w:fldCharType="begin"/>
      </w:r>
      <w:r>
        <w:instrText>HYPERLINK "https://advance.lexis.com/api/document?collection=cases&amp;id=urn:contentItem:3RX4-0TF0-003C-91WY-00000-00&amp;context=1519360"</w:instrText>
      </w:r>
      <w:r>
        <w:fldChar w:fldCharType="separate"/>
      </w:r>
      <w:r>
        <w:rPr>
          <w:rFonts w:ascii="Arial" w:eastAsia="Arial" w:hAnsi="Arial" w:cs="Arial"/>
          <w:i/>
          <w:color w:val="0077CC"/>
          <w:sz w:val="20"/>
          <w:u w:val="single"/>
        </w:rPr>
        <w:t>Schottland v. Lucas</w:t>
      </w:r>
      <w:r>
        <w:fldChar w:fldCharType="end"/>
      </w:r>
      <w:r>
        <w:rPr>
          <w:rFonts w:ascii="Arial" w:eastAsia="Arial" w:hAnsi="Arial" w:cs="Arial"/>
          <w:color w:val="000000"/>
          <w:sz w:val="20"/>
        </w:rPr>
        <w:t xml:space="preserve">, the Alabama Supreme Court held that where the purchasers refused to sign a loan application, the facts of the case supported the inference that defendants frustrated the </w:t>
      </w:r>
      <w:r w:rsidRPr="00D769C0">
        <w:rPr>
          <w:rFonts w:ascii="Arial" w:eastAsia="Arial" w:hAnsi="Arial" w:cs="Arial"/>
          <w:bCs/>
          <w:iCs/>
          <w:color w:val="000000"/>
          <w:sz w:val="20"/>
        </w:rPr>
        <w:t>financing contingency</w:t>
      </w:r>
      <w:r>
        <w:rPr>
          <w:rFonts w:ascii="Arial" w:eastAsia="Arial" w:hAnsi="Arial" w:cs="Arial"/>
          <w:color w:val="000000"/>
          <w:sz w:val="20"/>
        </w:rPr>
        <w:t xml:space="preserve"> and did not make a reasonable </w:t>
      </w:r>
      <w:r w:rsidRPr="00D769C0">
        <w:rPr>
          <w:rFonts w:ascii="Arial" w:eastAsia="Arial" w:hAnsi="Arial" w:cs="Arial"/>
          <w:bCs/>
          <w:iCs/>
          <w:color w:val="000000"/>
          <w:sz w:val="20"/>
        </w:rPr>
        <w:t>good faith</w:t>
      </w:r>
      <w:r>
        <w:rPr>
          <w:rFonts w:ascii="Arial" w:eastAsia="Arial" w:hAnsi="Arial" w:cs="Arial"/>
          <w:color w:val="000000"/>
          <w:sz w:val="20"/>
        </w:rPr>
        <w:t xml:space="preserve"> effort. </w:t>
      </w:r>
      <w:bookmarkStart w:id="64" w:name="Bookmark_I6758C1J2HM6GX0040000400"/>
      <w:bookmarkStart w:id="65" w:name="Bookmark_I6758C1J28T4NC0020000400_2"/>
      <w:bookmarkEnd w:id="64"/>
      <w:bookmarkEnd w:id="65"/>
      <w:r>
        <w:rPr>
          <w:rFonts w:ascii="Arial" w:eastAsia="Arial" w:hAnsi="Arial" w:cs="Arial"/>
          <w:color w:val="000000"/>
          <w:sz w:val="20"/>
        </w:rPr>
        <w:t xml:space="preserve">Second, in </w:t>
      </w:r>
      <w:bookmarkStart w:id="66" w:name="Bookmark_I6758C1J28T4NC0020000400_3"/>
      <w:bookmarkStart w:id="67" w:name="Bookmark_I6758C1J28T4NC0010000400"/>
      <w:bookmarkEnd w:id="66"/>
      <w:bookmarkEnd w:id="67"/>
      <w:r>
        <w:fldChar w:fldCharType="begin"/>
      </w:r>
      <w:r>
        <w:instrText>HYPERLINK "https://advance.lexis.com/api/document?collection=cases&amp;id=urn:contentItem:3RX3-X1C0-003C-937G-00000-00&amp;context=1519360"</w:instrText>
      </w:r>
      <w:r>
        <w:fldChar w:fldCharType="separate"/>
      </w:r>
      <w:r>
        <w:rPr>
          <w:rFonts w:ascii="Arial" w:eastAsia="Arial" w:hAnsi="Arial" w:cs="Arial"/>
          <w:i/>
          <w:color w:val="0077CC"/>
          <w:sz w:val="20"/>
          <w:u w:val="single"/>
        </w:rPr>
        <w:t>Duncan v. Rossuck</w:t>
      </w:r>
      <w:r>
        <w:fldChar w:fldCharType="end"/>
      </w:r>
      <w:r>
        <w:rPr>
          <w:rFonts w:ascii="Arial" w:eastAsia="Arial" w:hAnsi="Arial" w:cs="Arial"/>
          <w:color w:val="000000"/>
          <w:sz w:val="20"/>
        </w:rPr>
        <w:t>, the court held that where evidence in the record demonstrated that the purchasers rejected financing "solely because they wished to be relieved from performing under a contract that they had become disenchanted with," the defendants were not excused</w:t>
      </w:r>
      <w:r>
        <w:rPr>
          <w:rFonts w:ascii="Arial" w:eastAsia="Arial" w:hAnsi="Arial" w:cs="Arial"/>
          <w:b/>
          <w:color w:val="000000"/>
          <w:sz w:val="20"/>
        </w:rPr>
        <w:t> </w:t>
      </w:r>
      <w:r>
        <w:rPr>
          <w:rFonts w:ascii="Arial" w:eastAsia="Arial" w:hAnsi="Arial" w:cs="Arial"/>
          <w:color w:val="000000"/>
          <w:sz w:val="20"/>
        </w:rPr>
        <w:t xml:space="preserve">from the contract for failure of the </w:t>
      </w:r>
      <w:r w:rsidRPr="00D769C0">
        <w:rPr>
          <w:rFonts w:ascii="Arial" w:eastAsia="Arial" w:hAnsi="Arial" w:cs="Arial"/>
          <w:bCs/>
          <w:iCs/>
          <w:color w:val="000000"/>
          <w:sz w:val="20"/>
        </w:rPr>
        <w:t>financing</w:t>
      </w:r>
      <w:r>
        <w:rPr>
          <w:rFonts w:ascii="Arial" w:eastAsia="Arial" w:hAnsi="Arial" w:cs="Arial"/>
          <w:b/>
          <w:i/>
          <w:color w:val="000000"/>
          <w:sz w:val="20"/>
          <w:u w:val="single"/>
        </w:rPr>
        <w:t xml:space="preserve"> </w:t>
      </w:r>
      <w:r w:rsidRPr="00D769C0">
        <w:rPr>
          <w:rFonts w:ascii="Arial" w:eastAsia="Arial" w:hAnsi="Arial" w:cs="Arial"/>
          <w:bCs/>
          <w:iCs/>
          <w:color w:val="000000"/>
          <w:sz w:val="20"/>
        </w:rPr>
        <w:t>contingency</w:t>
      </w:r>
      <w:r>
        <w:rPr>
          <w:rFonts w:ascii="Arial" w:eastAsia="Arial" w:hAnsi="Arial" w:cs="Arial"/>
          <w:color w:val="000000"/>
          <w:sz w:val="20"/>
        </w:rPr>
        <w:t xml:space="preserve">. </w:t>
      </w:r>
      <w:bookmarkStart w:id="68" w:name="Bookmark_I6758C1J28T4NC0030000400"/>
      <w:bookmarkEnd w:id="68"/>
    </w:p>
    <w:p w14:paraId="4CADFBC0" w14:textId="7E9FCD79" w:rsidR="0021716B" w:rsidRDefault="00000000">
      <w:pPr>
        <w:widowControl w:val="0"/>
        <w:spacing w:before="240" w:line="260" w:lineRule="atLeast"/>
        <w:jc w:val="both"/>
      </w:pPr>
      <w:bookmarkStart w:id="69" w:name="Bookmark_para_28"/>
      <w:bookmarkStart w:id="70" w:name="Bookmark_I1SKVP2BDMM0000100100002"/>
      <w:bookmarkStart w:id="71" w:name="Bookmark_I6758C1J2HM6GY0010000400"/>
      <w:bookmarkEnd w:id="69"/>
      <w:bookmarkEnd w:id="70"/>
      <w:bookmarkEnd w:id="71"/>
      <w:r>
        <w:rPr>
          <w:rFonts w:ascii="Arial" w:eastAsia="Arial" w:hAnsi="Arial" w:cs="Arial"/>
          <w:color w:val="000000"/>
          <w:sz w:val="20"/>
        </w:rPr>
        <w:t xml:space="preserve">Conversely, in </w:t>
      </w:r>
      <w:r>
        <w:rPr>
          <w:rFonts w:ascii="Arial" w:eastAsia="Arial" w:hAnsi="Arial" w:cs="Arial"/>
          <w:i/>
          <w:color w:val="000000"/>
          <w:sz w:val="20"/>
        </w:rPr>
        <w:t>Carmichael v. Lambert Construction Co.</w:t>
      </w:r>
      <w:r>
        <w:rPr>
          <w:rFonts w:ascii="Arial" w:eastAsia="Arial" w:hAnsi="Arial" w:cs="Arial"/>
          <w:color w:val="000000"/>
          <w:sz w:val="20"/>
        </w:rPr>
        <w:t xml:space="preserve">, the Alabama Supreme Court held that where, following execution of a home purchase contract, the purchasers applied for financing but then were unexpectedly informed by the husband's employer that he would be </w:t>
      </w:r>
      <w:r>
        <w:rPr>
          <w:rFonts w:ascii="Arial" w:eastAsia="Arial" w:hAnsi="Arial" w:cs="Arial"/>
          <w:color w:val="000000"/>
          <w:sz w:val="20"/>
        </w:rPr>
        <w:lastRenderedPageBreak/>
        <w:t xml:space="preserve">transferred to another state, the purchasers did not "voluntarily prevent[] or frustrate[] the occurrence of the" </w:t>
      </w:r>
      <w:r w:rsidRPr="00D769C0">
        <w:rPr>
          <w:rFonts w:ascii="Arial" w:eastAsia="Arial" w:hAnsi="Arial" w:cs="Arial"/>
          <w:bCs/>
          <w:iCs/>
          <w:color w:val="000000"/>
          <w:sz w:val="20"/>
        </w:rPr>
        <w:t>financing contingency</w:t>
      </w:r>
      <w:r>
        <w:rPr>
          <w:rFonts w:ascii="Arial" w:eastAsia="Arial" w:hAnsi="Arial" w:cs="Arial"/>
          <w:color w:val="000000"/>
          <w:sz w:val="20"/>
        </w:rPr>
        <w:t xml:space="preserve"> by failing to obtain financing. </w:t>
      </w:r>
      <w:bookmarkStart w:id="72" w:name="Bookmark_I6758C1J28T4NC0050000400"/>
      <w:bookmarkEnd w:id="72"/>
    </w:p>
    <w:p w14:paraId="499FD362" w14:textId="77777777" w:rsidR="0021716B" w:rsidRDefault="00000000">
      <w:pPr>
        <w:widowControl w:val="0"/>
        <w:spacing w:before="200" w:line="260" w:lineRule="atLeast"/>
        <w:jc w:val="both"/>
      </w:pPr>
      <w:bookmarkStart w:id="73" w:name="Bookmark_para_29"/>
      <w:bookmarkEnd w:id="73"/>
      <w:r>
        <w:rPr>
          <w:rFonts w:ascii="Arial" w:eastAsia="Arial" w:hAnsi="Arial" w:cs="Arial"/>
          <w:color w:val="000000"/>
          <w:sz w:val="20"/>
        </w:rPr>
        <w:t xml:space="preserve">Here, the record establishes that the Chamberses acted in </w:t>
      </w:r>
      <w:r w:rsidRPr="00D769C0">
        <w:rPr>
          <w:rFonts w:ascii="Arial" w:eastAsia="Arial" w:hAnsi="Arial" w:cs="Arial"/>
          <w:bCs/>
          <w:iCs/>
          <w:color w:val="000000"/>
          <w:sz w:val="20"/>
        </w:rPr>
        <w:t>good</w:t>
      </w:r>
      <w:r>
        <w:rPr>
          <w:rFonts w:ascii="Arial" w:eastAsia="Arial" w:hAnsi="Arial" w:cs="Arial"/>
          <w:b/>
          <w:i/>
          <w:color w:val="000000"/>
          <w:sz w:val="20"/>
          <w:u w:val="single"/>
        </w:rPr>
        <w:t xml:space="preserve"> </w:t>
      </w:r>
      <w:r w:rsidRPr="00D769C0">
        <w:rPr>
          <w:rFonts w:ascii="Arial" w:eastAsia="Arial" w:hAnsi="Arial" w:cs="Arial"/>
          <w:bCs/>
          <w:iCs/>
          <w:color w:val="000000"/>
          <w:sz w:val="20"/>
        </w:rPr>
        <w:t>faith</w:t>
      </w:r>
      <w:r>
        <w:rPr>
          <w:rFonts w:ascii="Arial" w:eastAsia="Arial" w:hAnsi="Arial" w:cs="Arial"/>
          <w:color w:val="000000"/>
          <w:sz w:val="20"/>
        </w:rPr>
        <w:t>. The Peters have not pointed to any evidence sufficient to create a genuine dispute of material fact on this issue. The Peterses contend that Dr. Chambers was fully apprised of the substantive terms of the Hospital agreement before execution of the sales contract through his discussions with Dr. Dykes. The record, however, shows that the parties entered into the sales contract in May 2019, one month prior to Dr. Chambers receiving the Definitive Agreement from the Hospital. While Dr. Dykes testified that he discussed the "basic" terms of the Hospital agreement with Dr. Chambers as they were described in the LOI, the final agreement</w:t>
      </w:r>
      <w:r>
        <w:rPr>
          <w:rFonts w:ascii="Arial" w:eastAsia="Arial" w:hAnsi="Arial" w:cs="Arial"/>
          <w:b/>
          <w:color w:val="000000"/>
          <w:sz w:val="20"/>
        </w:rPr>
        <w:t> [*13] </w:t>
      </w:r>
      <w:r>
        <w:rPr>
          <w:rFonts w:ascii="Arial" w:eastAsia="Arial" w:hAnsi="Arial" w:cs="Arial"/>
          <w:color w:val="000000"/>
          <w:sz w:val="20"/>
        </w:rPr>
        <w:t xml:space="preserve"> included additional terms beyond those in the LOI—some of which were directly contradictory to what Dr. Dykes discussed with Dr. Chambers.</w:t>
      </w:r>
    </w:p>
    <w:p w14:paraId="137D4041" w14:textId="77777777" w:rsidR="0021716B" w:rsidRDefault="00000000">
      <w:pPr>
        <w:widowControl w:val="0"/>
        <w:spacing w:before="200" w:line="260" w:lineRule="atLeast"/>
        <w:jc w:val="both"/>
      </w:pPr>
      <w:bookmarkStart w:id="74" w:name="Bookmark_para_30"/>
      <w:bookmarkEnd w:id="74"/>
      <w:r>
        <w:rPr>
          <w:rFonts w:ascii="Arial" w:eastAsia="Arial" w:hAnsi="Arial" w:cs="Arial"/>
          <w:color w:val="000000"/>
          <w:sz w:val="20"/>
        </w:rPr>
        <w:t>The Peterses point to other facts in the record as evidence of the Chamberses' bad faith—namely, Ms. Barelare's statements that Dr. Chambers would not sign a sales contract before making satisfactory employment arrangements and that, in early May 2019, Dr. Chambers had made such arrangements and was ready to negotiate a sales contract. They also point to Dr. Chambers's instruction to Ms. Barelare not to include an employment contingency in the sales contract.</w:t>
      </w:r>
    </w:p>
    <w:p w14:paraId="4716B56F" w14:textId="3A52EC80" w:rsidR="0021716B" w:rsidRDefault="00000000">
      <w:pPr>
        <w:widowControl w:val="0"/>
        <w:spacing w:before="200" w:line="260" w:lineRule="atLeast"/>
        <w:jc w:val="both"/>
      </w:pPr>
      <w:bookmarkStart w:id="75" w:name="Bookmark_para_31"/>
      <w:bookmarkEnd w:id="75"/>
      <w:r>
        <w:rPr>
          <w:rFonts w:ascii="Arial" w:eastAsia="Arial" w:hAnsi="Arial" w:cs="Arial"/>
          <w:color w:val="000000"/>
          <w:sz w:val="20"/>
        </w:rPr>
        <w:t>These facts do not support a reasonable inference that the Chamberses acted in bad faith in pursuing financing to purchase the Peterses' home. Before signing the sales contract, Dr. Chambers believed that he had made satisfactory employment arrangements. While understanding that the Hospital agreement would contain additional terms, he believed the substance of those terms would align closely with what he discussed with Dr. Dykes and ABJC during negotiations as those terms were described in the LOI. After signing the sales contract, however, he learned that the Hospital agreement contained unfavorable</w:t>
      </w:r>
      <w:r>
        <w:rPr>
          <w:rFonts w:ascii="Arial" w:eastAsia="Arial" w:hAnsi="Arial" w:cs="Arial"/>
          <w:b/>
          <w:color w:val="000000"/>
          <w:sz w:val="20"/>
        </w:rPr>
        <w:t> </w:t>
      </w:r>
      <w:r w:rsidR="00D769C0" w:rsidRPr="00D769C0">
        <w:rPr>
          <w:rFonts w:ascii="Arial" w:eastAsia="Arial" w:hAnsi="Arial" w:cs="Arial"/>
          <w:bCs/>
          <w:color w:val="000000"/>
          <w:sz w:val="20"/>
        </w:rPr>
        <w:t>ter</w:t>
      </w:r>
      <w:r w:rsidR="00D769C0">
        <w:rPr>
          <w:rFonts w:ascii="Arial" w:eastAsia="Arial" w:hAnsi="Arial" w:cs="Arial"/>
          <w:color w:val="000000"/>
          <w:sz w:val="20"/>
        </w:rPr>
        <w:t>ms</w:t>
      </w:r>
      <w:r>
        <w:rPr>
          <w:rFonts w:ascii="Arial" w:eastAsia="Arial" w:hAnsi="Arial" w:cs="Arial"/>
          <w:color w:val="000000"/>
          <w:sz w:val="20"/>
        </w:rPr>
        <w:t>.</w:t>
      </w:r>
    </w:p>
    <w:p w14:paraId="4D3B4987" w14:textId="73930A7C" w:rsidR="0021716B" w:rsidRDefault="00000000">
      <w:pPr>
        <w:widowControl w:val="0"/>
        <w:spacing w:before="200" w:line="260" w:lineRule="atLeast"/>
        <w:jc w:val="both"/>
      </w:pPr>
      <w:bookmarkStart w:id="76" w:name="Bookmark_para_32"/>
      <w:bookmarkStart w:id="77" w:name="Bookmark_I6758C1J2HM6GY0030000400"/>
      <w:bookmarkEnd w:id="76"/>
      <w:bookmarkEnd w:id="77"/>
      <w:r>
        <w:rPr>
          <w:rFonts w:ascii="Arial" w:eastAsia="Arial" w:hAnsi="Arial" w:cs="Arial"/>
          <w:color w:val="000000"/>
          <w:sz w:val="20"/>
        </w:rPr>
        <w:t xml:space="preserve">Unlike the purchasers in </w:t>
      </w:r>
      <w:bookmarkStart w:id="78" w:name="Bookmark_I6758C1J2HM6GY0020000400"/>
      <w:bookmarkEnd w:id="78"/>
      <w:r>
        <w:fldChar w:fldCharType="begin"/>
      </w:r>
      <w:r>
        <w:instrText>HYPERLINK "https://advance.lexis.com/api/document?collection=cases&amp;id=urn:contentItem:3RX3-X1C0-003C-937G-00000-00&amp;context=1519360"</w:instrText>
      </w:r>
      <w:r>
        <w:fldChar w:fldCharType="separate"/>
      </w:r>
      <w:r>
        <w:rPr>
          <w:rFonts w:ascii="Arial" w:eastAsia="Arial" w:hAnsi="Arial" w:cs="Arial"/>
          <w:i/>
          <w:color w:val="0077CC"/>
          <w:sz w:val="20"/>
          <w:u w:val="single"/>
        </w:rPr>
        <w:t>Duncan</w:t>
      </w:r>
      <w:r>
        <w:fldChar w:fldCharType="end"/>
      </w:r>
      <w:r>
        <w:rPr>
          <w:rFonts w:ascii="Arial" w:eastAsia="Arial" w:hAnsi="Arial" w:cs="Arial"/>
          <w:color w:val="000000"/>
          <w:sz w:val="20"/>
        </w:rPr>
        <w:t xml:space="preserve"> or </w:t>
      </w:r>
      <w:bookmarkStart w:id="79" w:name="Bookmark_I6758C1J2HM6GY0040000400"/>
      <w:bookmarkEnd w:id="79"/>
      <w:r>
        <w:fldChar w:fldCharType="begin"/>
      </w:r>
      <w:r>
        <w:instrText>HYPERLINK "https://advance.lexis.com/api/document?collection=cases&amp;id=urn:contentItem:3RX4-0TF0-003C-91WY-00000-00&amp;context=1519360"</w:instrText>
      </w:r>
      <w:r>
        <w:fldChar w:fldCharType="separate"/>
      </w:r>
      <w:r>
        <w:rPr>
          <w:rFonts w:ascii="Arial" w:eastAsia="Arial" w:hAnsi="Arial" w:cs="Arial"/>
          <w:i/>
          <w:color w:val="0077CC"/>
          <w:sz w:val="20"/>
          <w:u w:val="single"/>
        </w:rPr>
        <w:t>Schottland</w:t>
      </w:r>
      <w:r>
        <w:fldChar w:fldCharType="end"/>
      </w:r>
      <w:r>
        <w:rPr>
          <w:rFonts w:ascii="Arial" w:eastAsia="Arial" w:hAnsi="Arial" w:cs="Arial"/>
          <w:color w:val="000000"/>
          <w:sz w:val="20"/>
        </w:rPr>
        <w:t xml:space="preserve">, the record shows that the Chamberses did not thwart their application for financing or reject an offer of financing simply because they became "disenchanted" with the sales contract. This case is much more like </w:t>
      </w:r>
      <w:r>
        <w:rPr>
          <w:rFonts w:ascii="Arial" w:eastAsia="Arial" w:hAnsi="Arial" w:cs="Arial"/>
          <w:i/>
          <w:color w:val="000000"/>
          <w:sz w:val="20"/>
        </w:rPr>
        <w:t>Carmichael</w:t>
      </w:r>
      <w:r>
        <w:rPr>
          <w:rFonts w:ascii="Arial" w:eastAsia="Arial" w:hAnsi="Arial" w:cs="Arial"/>
          <w:color w:val="000000"/>
          <w:sz w:val="20"/>
        </w:rPr>
        <w:t xml:space="preserve">, where an unanticipated change in circumstances led to the Chamberses' failure to obtain financing. What's more, there are additional facts in the record here that support a finding of </w:t>
      </w:r>
      <w:r w:rsidRPr="00A51A3D">
        <w:rPr>
          <w:rFonts w:ascii="Arial" w:eastAsia="Arial" w:hAnsi="Arial" w:cs="Arial"/>
          <w:bCs/>
          <w:iCs/>
          <w:color w:val="000000"/>
          <w:sz w:val="20"/>
        </w:rPr>
        <w:t>good faith</w:t>
      </w:r>
      <w:r>
        <w:rPr>
          <w:rFonts w:ascii="Arial" w:eastAsia="Arial" w:hAnsi="Arial" w:cs="Arial"/>
          <w:color w:val="000000"/>
          <w:sz w:val="20"/>
        </w:rPr>
        <w:t xml:space="preserve"> that were not present in </w:t>
      </w:r>
      <w:r>
        <w:rPr>
          <w:rFonts w:ascii="Arial" w:eastAsia="Arial" w:hAnsi="Arial" w:cs="Arial"/>
          <w:i/>
          <w:color w:val="000000"/>
          <w:sz w:val="20"/>
        </w:rPr>
        <w:t>Carmichael</w:t>
      </w:r>
      <w:r>
        <w:rPr>
          <w:rFonts w:ascii="Arial" w:eastAsia="Arial" w:hAnsi="Arial" w:cs="Arial"/>
          <w:color w:val="000000"/>
          <w:sz w:val="20"/>
        </w:rPr>
        <w:t xml:space="preserve">. For instance, the Chamberses applied for a </w:t>
      </w:r>
      <w:r>
        <w:rPr>
          <w:rFonts w:ascii="Arial" w:eastAsia="Arial" w:hAnsi="Arial" w:cs="Arial"/>
          <w:color w:val="000000"/>
          <w:sz w:val="20"/>
        </w:rPr>
        <w:t xml:space="preserve">bridge loan to close on the Peterses' home more quickly, they did not seek to terminate their loan applications when Dr. Chambers's employment negotiations stalled, and they sought an extension of the closing date for which they paid a nonrefundable deposit as consideration. </w:t>
      </w:r>
    </w:p>
    <w:p w14:paraId="268DF314" w14:textId="6B063B11" w:rsidR="0021716B" w:rsidRDefault="00000000">
      <w:pPr>
        <w:widowControl w:val="0"/>
        <w:spacing w:before="240" w:line="260" w:lineRule="atLeast"/>
      </w:pPr>
      <w:r>
        <w:rPr>
          <w:rFonts w:ascii="Arial" w:eastAsia="Arial" w:hAnsi="Arial" w:cs="Arial"/>
          <w:b/>
          <w:color w:val="000000"/>
          <w:sz w:val="20"/>
        </w:rPr>
        <w:t>III. CONCLUSION</w:t>
      </w:r>
    </w:p>
    <w:p w14:paraId="2EB305CE" w14:textId="514E436E" w:rsidR="0021716B" w:rsidRDefault="00000000">
      <w:pPr>
        <w:widowControl w:val="0"/>
        <w:spacing w:before="200" w:line="260" w:lineRule="atLeast"/>
        <w:jc w:val="both"/>
      </w:pPr>
      <w:bookmarkStart w:id="80" w:name="Bookmark_para_58"/>
      <w:bookmarkEnd w:id="80"/>
      <w:r>
        <w:rPr>
          <w:rFonts w:ascii="Arial" w:eastAsia="Arial" w:hAnsi="Arial" w:cs="Arial"/>
          <w:color w:val="000000"/>
          <w:sz w:val="20"/>
        </w:rPr>
        <w:t>The district court's grant of summary judgment on the Peterses' breach of contract</w:t>
      </w:r>
      <w:r w:rsidR="00B91E88">
        <w:rPr>
          <w:rFonts w:ascii="Arial" w:eastAsia="Arial" w:hAnsi="Arial" w:cs="Arial"/>
          <w:color w:val="000000"/>
          <w:sz w:val="20"/>
        </w:rPr>
        <w:t xml:space="preserve"> … </w:t>
      </w:r>
      <w:r>
        <w:rPr>
          <w:rFonts w:ascii="Arial" w:eastAsia="Arial" w:hAnsi="Arial" w:cs="Arial"/>
          <w:color w:val="000000"/>
          <w:sz w:val="20"/>
        </w:rPr>
        <w:t>was proper.</w:t>
      </w:r>
      <w:r>
        <w:rPr>
          <w:rFonts w:ascii="Arial" w:eastAsia="Arial" w:hAnsi="Arial" w:cs="Arial"/>
          <w:b/>
          <w:color w:val="000000"/>
          <w:sz w:val="20"/>
        </w:rPr>
        <w:t> </w:t>
      </w:r>
      <w:r>
        <w:rPr>
          <w:rFonts w:ascii="Arial" w:eastAsia="Arial" w:hAnsi="Arial" w:cs="Arial"/>
          <w:color w:val="000000"/>
          <w:sz w:val="20"/>
        </w:rPr>
        <w:t xml:space="preserve"> For these reasons, we affirm.</w:t>
      </w:r>
    </w:p>
    <w:p w14:paraId="24F28AE0" w14:textId="77777777" w:rsidR="0021716B" w:rsidRDefault="00000000">
      <w:pPr>
        <w:widowControl w:val="0"/>
        <w:spacing w:before="200" w:line="260" w:lineRule="atLeast"/>
        <w:jc w:val="both"/>
      </w:pPr>
      <w:bookmarkStart w:id="81" w:name="Bookmark_para_59"/>
      <w:bookmarkEnd w:id="81"/>
      <w:r>
        <w:rPr>
          <w:rFonts w:ascii="Arial" w:eastAsia="Arial" w:hAnsi="Arial" w:cs="Arial"/>
          <w:b/>
          <w:color w:val="000000"/>
          <w:sz w:val="20"/>
        </w:rPr>
        <w:t>AFFIRMED</w:t>
      </w:r>
      <w:r>
        <w:rPr>
          <w:rFonts w:ascii="Arial" w:eastAsia="Arial" w:hAnsi="Arial" w:cs="Arial"/>
          <w:color w:val="000000"/>
          <w:sz w:val="20"/>
        </w:rPr>
        <w:t>.</w:t>
      </w:r>
    </w:p>
    <w:p w14:paraId="07C68174" w14:textId="77777777" w:rsidR="0021716B" w:rsidRDefault="0021716B"/>
    <w:p w14:paraId="6560FCF4" w14:textId="222B92D4" w:rsidR="0021716B" w:rsidRDefault="00000000">
      <w:pPr>
        <w:ind w:left="200"/>
      </w:pPr>
      <w:r>
        <w:br/>
      </w:r>
      <w:r w:rsidR="00495C19">
        <w:rPr>
          <w:noProof/>
        </w:rPr>
        <mc:AlternateContent>
          <mc:Choice Requires="wps">
            <w:drawing>
              <wp:anchor distT="0" distB="0" distL="114300" distR="114300" simplePos="0" relativeHeight="251662336" behindDoc="0" locked="0" layoutInCell="1" allowOverlap="1" wp14:anchorId="497EB775" wp14:editId="1B262A25">
                <wp:simplePos x="0" y="0"/>
                <wp:positionH relativeFrom="column">
                  <wp:posOffset>0</wp:posOffset>
                </wp:positionH>
                <wp:positionV relativeFrom="paragraph">
                  <wp:posOffset>127000</wp:posOffset>
                </wp:positionV>
                <wp:extent cx="6502400" cy="0"/>
                <wp:effectExtent l="9525" t="10795" r="12700" b="8255"/>
                <wp:wrapNone/>
                <wp:docPr id="58506122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1373A" id="Line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" strokeweight="1pt"/>
            </w:pict>
          </mc:Fallback>
        </mc:AlternateContent>
      </w:r>
      <w:r>
        <w:rPr>
          <w:rFonts w:ascii="Arial" w:eastAsia="Arial" w:hAnsi="Arial" w:cs="Arial"/>
          <w:b/>
          <w:color w:val="767676"/>
          <w:sz w:val="16"/>
        </w:rPr>
        <w:t>End of Document</w:t>
      </w:r>
    </w:p>
    <w:sectPr w:rsidR="0021716B">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3CC2" w14:textId="77777777" w:rsidR="00C6796F" w:rsidRDefault="00C6796F">
      <w:r>
        <w:separator/>
      </w:r>
    </w:p>
  </w:endnote>
  <w:endnote w:type="continuationSeparator" w:id="0">
    <w:p w14:paraId="48957C2C" w14:textId="77777777" w:rsidR="00C6796F" w:rsidRDefault="00C6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21716B" w14:paraId="625E24B7" w14:textId="77777777">
      <w:trPr>
        <w:jc w:val="center"/>
      </w:trPr>
      <w:tc>
        <w:tcPr>
          <w:tcW w:w="2600" w:type="dxa"/>
          <w:tcMar>
            <w:top w:w="200" w:type="dxa"/>
          </w:tcMar>
          <w:vAlign w:val="center"/>
        </w:tcPr>
        <w:p w14:paraId="4EB98489" w14:textId="77777777" w:rsidR="0021716B" w:rsidRDefault="0021716B"/>
      </w:tc>
      <w:tc>
        <w:tcPr>
          <w:tcW w:w="4880" w:type="dxa"/>
          <w:tcMar>
            <w:top w:w="200" w:type="dxa"/>
          </w:tcMar>
          <w:vAlign w:val="center"/>
        </w:tcPr>
        <w:p w14:paraId="3E1E56BC" w14:textId="77777777" w:rsidR="0021716B" w:rsidRDefault="0021716B"/>
      </w:tc>
      <w:tc>
        <w:tcPr>
          <w:tcW w:w="2600" w:type="dxa"/>
          <w:tcMar>
            <w:top w:w="200" w:type="dxa"/>
          </w:tcMar>
          <w:vAlign w:val="center"/>
        </w:tcPr>
        <w:p w14:paraId="2CF23168" w14:textId="77777777" w:rsidR="0021716B" w:rsidRDefault="0021716B"/>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598" w14:textId="77777777" w:rsidR="0021716B" w:rsidRDefault="0021716B">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A6FC" w14:textId="77777777" w:rsidR="00C6796F" w:rsidRDefault="00C6796F">
      <w:r>
        <w:separator/>
      </w:r>
    </w:p>
  </w:footnote>
  <w:footnote w:type="continuationSeparator" w:id="0">
    <w:p w14:paraId="3D3CFC4B" w14:textId="77777777" w:rsidR="00C6796F" w:rsidRDefault="00C6796F">
      <w:r>
        <w:continuationSeparator/>
      </w:r>
    </w:p>
  </w:footnote>
  <w:footnote w:id="1">
    <w:p w14:paraId="7EC3790C" w14:textId="77777777" w:rsidR="0021716B" w:rsidRDefault="00000000">
      <w:pPr>
        <w:spacing w:before="120" w:line="240" w:lineRule="atLeast"/>
        <w:jc w:val="both"/>
      </w:pPr>
      <w:r>
        <w:rPr>
          <w:rFonts w:ascii="Arial" w:eastAsia="Arial" w:hAnsi="Arial" w:cs="Arial"/>
          <w:color w:val="000000"/>
          <w:sz w:val="18"/>
          <w:vertAlign w:val="superscript"/>
        </w:rPr>
        <w:t>1 </w:t>
      </w:r>
      <w:bookmarkStart w:id="18" w:name="Bookmark_fnpara_1"/>
      <w:bookmarkEnd w:id="18"/>
      <w:r>
        <w:rPr>
          <w:rFonts w:ascii="Arial" w:eastAsia="Arial" w:hAnsi="Arial" w:cs="Arial"/>
          <w:color w:val="000000"/>
          <w:sz w:val="18"/>
        </w:rPr>
        <w:t>The district court referred to Appellants as "the Peters[es]," for ease of reference, because Ms. Ellis and Mr. Peters were married at all times relevant to this appeal. We will do the same.</w:t>
      </w:r>
    </w:p>
  </w:footnote>
  <w:footnote w:id="2">
    <w:p w14:paraId="3E57BD21" w14:textId="77777777" w:rsidR="0021716B" w:rsidRDefault="00000000">
      <w:pPr>
        <w:spacing w:before="120" w:line="240" w:lineRule="atLeast"/>
        <w:jc w:val="both"/>
      </w:pPr>
      <w:r>
        <w:rPr>
          <w:rFonts w:ascii="Arial" w:eastAsia="Arial" w:hAnsi="Arial" w:cs="Arial"/>
          <w:color w:val="000000"/>
          <w:sz w:val="18"/>
          <w:vertAlign w:val="superscript"/>
        </w:rPr>
        <w:t>3 </w:t>
      </w:r>
      <w:bookmarkStart w:id="24" w:name="Bookmark_fnpara_3"/>
      <w:bookmarkEnd w:id="24"/>
      <w:r>
        <w:rPr>
          <w:rFonts w:ascii="Arial" w:eastAsia="Arial" w:hAnsi="Arial" w:cs="Arial"/>
          <w:color w:val="000000"/>
          <w:sz w:val="18"/>
        </w:rPr>
        <w:t>ABJC and the Hospital sent a second LOI on April 22, 2019, reflecting an increased annual salary.</w:t>
      </w:r>
    </w:p>
  </w:footnote>
  <w:footnote w:id="3">
    <w:p w14:paraId="46FF72A7" w14:textId="77777777" w:rsidR="0021716B" w:rsidRDefault="00000000">
      <w:pPr>
        <w:spacing w:before="120" w:line="240" w:lineRule="atLeast"/>
        <w:jc w:val="both"/>
      </w:pPr>
      <w:r>
        <w:rPr>
          <w:rFonts w:ascii="Arial" w:eastAsia="Arial" w:hAnsi="Arial" w:cs="Arial"/>
          <w:color w:val="000000"/>
          <w:sz w:val="18"/>
          <w:vertAlign w:val="superscript"/>
        </w:rPr>
        <w:t>4 </w:t>
      </w:r>
      <w:bookmarkStart w:id="30" w:name="Bookmark_fnpara_4"/>
      <w:bookmarkEnd w:id="30"/>
      <w:r>
        <w:rPr>
          <w:rFonts w:ascii="Arial" w:eastAsia="Arial" w:hAnsi="Arial" w:cs="Arial"/>
          <w:color w:val="000000"/>
          <w:sz w:val="18"/>
        </w:rPr>
        <w:t>Essentially, as Dr. Chambers understood it, the agreement would permit ABJC to terminate him for any reason and then restrict his ability to work for another practice or start his own in the Birmingham area. Dr. Chambers also understood the agreement to trigger repayment obligations following termination, contrary to what Dr. Dykes relayed during negotiations in early 2019.</w:t>
      </w:r>
    </w:p>
  </w:footnote>
  <w:footnote w:id="4">
    <w:p w14:paraId="50DE5E70" w14:textId="77777777" w:rsidR="0021716B" w:rsidRDefault="00000000">
      <w:pPr>
        <w:spacing w:before="120" w:line="240" w:lineRule="atLeast"/>
        <w:jc w:val="both"/>
      </w:pPr>
      <w:r>
        <w:rPr>
          <w:rFonts w:ascii="Arial" w:eastAsia="Arial" w:hAnsi="Arial" w:cs="Arial"/>
          <w:color w:val="000000"/>
          <w:sz w:val="18"/>
          <w:vertAlign w:val="superscript"/>
        </w:rPr>
        <w:t>5 </w:t>
      </w:r>
      <w:bookmarkStart w:id="31" w:name="Bookmark_fnpara_5"/>
      <w:bookmarkEnd w:id="31"/>
      <w:r>
        <w:rPr>
          <w:rFonts w:ascii="Arial" w:eastAsia="Arial" w:hAnsi="Arial" w:cs="Arial"/>
          <w:color w:val="000000"/>
          <w:sz w:val="18"/>
        </w:rPr>
        <w:t>Nor did Dr. Chambers obtain financing through the bridge loan, as he failed to provide employment certification.</w:t>
      </w:r>
    </w:p>
  </w:footnote>
  <w:footnote w:id="5">
    <w:p w14:paraId="27870DDD" w14:textId="77777777" w:rsidR="0021716B" w:rsidRDefault="00000000">
      <w:pPr>
        <w:spacing w:before="120" w:line="240" w:lineRule="atLeast"/>
        <w:jc w:val="both"/>
      </w:pPr>
      <w:r>
        <w:rPr>
          <w:rFonts w:ascii="Arial" w:eastAsia="Arial" w:hAnsi="Arial" w:cs="Arial"/>
          <w:color w:val="000000"/>
          <w:sz w:val="18"/>
          <w:vertAlign w:val="superscript"/>
        </w:rPr>
        <w:t>7 </w:t>
      </w:r>
      <w:bookmarkStart w:id="56" w:name="Bookmark_fnpara_7"/>
      <w:bookmarkEnd w:id="56"/>
      <w:r>
        <w:rPr>
          <w:rFonts w:ascii="Arial" w:eastAsia="Arial" w:hAnsi="Arial" w:cs="Arial"/>
          <w:color w:val="000000"/>
          <w:sz w:val="18"/>
        </w:rPr>
        <w:t>The Peterses contend that Dr. Chambers had actual knowledge by virtue of his communications with Dr. Dykes during negotiations and Dr. Chambers's receipt of ABJC's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21716B" w14:paraId="234F4FAD" w14:textId="77777777">
      <w:trPr>
        <w:jc w:val="center"/>
      </w:trPr>
      <w:tc>
        <w:tcPr>
          <w:tcW w:w="10080" w:type="dxa"/>
          <w:vAlign w:val="center"/>
        </w:tcPr>
        <w:p w14:paraId="1E364705" w14:textId="77777777" w:rsidR="0021716B"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495C19">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495C19">
            <w:rPr>
              <w:rFonts w:ascii="Arial" w:eastAsia="Arial" w:hAnsi="Arial" w:cs="Arial"/>
              <w:noProof/>
              <w:sz w:val="20"/>
            </w:rPr>
            <w:t>2</w:t>
          </w:r>
          <w:r>
            <w:rPr>
              <w:rFonts w:ascii="Arial" w:eastAsia="Arial" w:hAnsi="Arial" w:cs="Arial"/>
              <w:sz w:val="20"/>
            </w:rPr>
            <w:fldChar w:fldCharType="end"/>
          </w:r>
        </w:p>
      </w:tc>
    </w:tr>
    <w:tr w:rsidR="0021716B" w14:paraId="70CECB64" w14:textId="77777777">
      <w:trPr>
        <w:jc w:val="center"/>
      </w:trPr>
      <w:tc>
        <w:tcPr>
          <w:tcW w:w="10080" w:type="dxa"/>
        </w:tcPr>
        <w:p w14:paraId="34B076EA" w14:textId="77777777" w:rsidR="0021716B" w:rsidRDefault="00000000">
          <w:pPr>
            <w:spacing w:before="60" w:after="200"/>
            <w:jc w:val="center"/>
          </w:pPr>
          <w:r>
            <w:rPr>
              <w:rFonts w:ascii="Arial" w:eastAsia="Arial" w:hAnsi="Arial" w:cs="Arial"/>
              <w:sz w:val="20"/>
            </w:rPr>
            <w:t>Ellis v. Chambers, 2022 U.S. App. LEXIS 34991</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1716B"/>
    <w:rsid w:val="002656A2"/>
    <w:rsid w:val="00294799"/>
    <w:rsid w:val="00495C19"/>
    <w:rsid w:val="004B7FCE"/>
    <w:rsid w:val="005224A8"/>
    <w:rsid w:val="00644A47"/>
    <w:rsid w:val="008407D6"/>
    <w:rsid w:val="00A51A3D"/>
    <w:rsid w:val="00A77B3E"/>
    <w:rsid w:val="00B20A1B"/>
    <w:rsid w:val="00B46429"/>
    <w:rsid w:val="00B91E88"/>
    <w:rsid w:val="00BD217F"/>
    <w:rsid w:val="00C6796F"/>
    <w:rsid w:val="00CA2A55"/>
    <w:rsid w:val="00D769C0"/>
    <w:rsid w:val="00EB3BD1"/>
    <w:rsid w:val="00F5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73E9C"/>
  <w15:docId w15:val="{750216F3-E5E3-4376-A839-BF5F1E43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advance.lexis.com/api/document?collection=cases&amp;id=urn:contentItem:640Y-Y991-FJM6-64H7-00000-00&amp;context=15193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advance.lexis.com/api/document?collection=cases&amp;id=urn:contentItem:6749-3M61-FCYK-20D4-00000-00&amp;context=1519360"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advance.lexis.com/api/shepards?id=urn:contentItem:67Y6-WCV3-CGX8-01JX-00000-00&amp;category=initial&amp;context=1519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Ellis v. Chambers, 2022 U.S. App. LEXIS 34991</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Ellis v. Chambers, 2022 U.S. App. LEXIS 34991</dc:title>
  <dc:creator>Georgette Phillips</dc:creator>
  <cp:lastModifiedBy>Georgette Phillips</cp:lastModifiedBy>
  <cp:revision>11</cp:revision>
  <dcterms:created xsi:type="dcterms:W3CDTF">2025-03-26T17:28:00Z</dcterms:created>
  <dcterms:modified xsi:type="dcterms:W3CDTF">2025-03-30T19:56:00Z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1">
    <vt:lpwstr>Doc::urn:hlct:5|contextualFeaturePermID::1519360</vt:lpwstr>
  </property>
  <property fmtid="{D5CDD505-2E9C-101B-9397-08002B2CF9AE}" pid="4" name="LNDeliveryID">
    <vt:lpwstr>248777557</vt:lpwstr>
  </property>
  <property fmtid="{D5CDD505-2E9C-101B-9397-08002B2CF9AE}" pid="5" name="UserPermID">
    <vt:lpwstr>urn:user:PA185491695</vt:lpwstr>
  </property>
</Properties>
</file>