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B2A51E" w14:textId="685E9793" w:rsidR="00DE1B78" w:rsidRDefault="0039216B" w:rsidP="0039216B">
      <w:pPr>
        <w:pStyle w:val="Heading1"/>
      </w:pPr>
      <w:r>
        <w:t>Excerpts from “</w:t>
      </w:r>
      <w:r w:rsidR="00DE1B78">
        <w:t>Practice-as-Research</w:t>
      </w:r>
      <w:r>
        <w:t xml:space="preserve">” by </w:t>
      </w:r>
      <w:r>
        <w:t xml:space="preserve">Vida L. </w:t>
      </w:r>
      <w:proofErr w:type="spellStart"/>
      <w:r>
        <w:t>Midgelow</w:t>
      </w:r>
      <w:proofErr w:type="spellEnd"/>
    </w:p>
    <w:p w14:paraId="70FB87E2" w14:textId="221F73C8" w:rsidR="0039216B" w:rsidRDefault="0039216B" w:rsidP="0039216B">
      <w:pPr>
        <w:pStyle w:val="Heading2"/>
      </w:pPr>
      <w:r>
        <w:t>The Bloomsbury Companion to Dance Studies, edited by Sherril Dodds, Bloomsbury Publishing Plc, 2019</w:t>
      </w:r>
    </w:p>
    <w:p w14:paraId="5A84F1C5" w14:textId="3E2A4D7A" w:rsidR="0039216B" w:rsidRPr="0039216B" w:rsidRDefault="0039216B" w:rsidP="0039216B">
      <w:pPr>
        <w:pStyle w:val="Heading2"/>
      </w:pPr>
      <w:r>
        <w:t>Page numbers in the e-book are 127-158</w:t>
      </w:r>
    </w:p>
    <w:p w14:paraId="4D747176" w14:textId="77777777" w:rsidR="00DE1B78" w:rsidRDefault="00DE1B78" w:rsidP="00DE1B78">
      <w:pPr>
        <w:pStyle w:val="Heading2"/>
        <w:rPr>
          <w:sz w:val="29"/>
          <w:szCs w:val="29"/>
        </w:rPr>
      </w:pPr>
      <w:r>
        <w:rPr>
          <w:sz w:val="29"/>
          <w:szCs w:val="29"/>
        </w:rPr>
        <w:t>Introduction</w:t>
      </w:r>
    </w:p>
    <w:p w14:paraId="232C9CBB" w14:textId="7268EC76" w:rsidR="00DE1B78" w:rsidRPr="0039216B" w:rsidRDefault="00DE1B78" w:rsidP="0039216B">
      <w:pPr>
        <w:pStyle w:val="Heading2"/>
        <w:rPr>
          <w:rStyle w:val="eop"/>
        </w:rPr>
      </w:pPr>
      <w:r w:rsidRPr="0039216B">
        <w:rPr>
          <w:rStyle w:val="normaltextrun"/>
        </w:rPr>
        <w:t>1</w:t>
      </w:r>
    </w:p>
    <w:p w14:paraId="0731AC0A" w14:textId="5A1CEFE9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Open your skin, nose, mouth …</w:t>
      </w:r>
    </w:p>
    <w:p w14:paraId="17A1ABE4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Let the body welcome each breath</w:t>
      </w:r>
    </w:p>
    <w:p w14:paraId="304BFC68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Notice the breath entering the body … air passing over the hairs in your nostrils</w:t>
      </w:r>
    </w:p>
    <w:p w14:paraId="6E1EEC8F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filling the lungs, expanding into the body</w:t>
      </w:r>
    </w:p>
    <w:p w14:paraId="33660E6E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Turning … the body empties as air passes over the throat.</w:t>
      </w:r>
    </w:p>
    <w:p w14:paraId="6D445BC3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Each breath cycle different from the last.</w:t>
      </w:r>
    </w:p>
    <w:p w14:paraId="728144D1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Let the body welcome each breath</w:t>
      </w:r>
    </w:p>
    <w:p w14:paraId="643A053A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Calling up movement in the body</w:t>
      </w:r>
    </w:p>
    <w:p w14:paraId="20E7734A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The expanding, rising and swelling of the chest and belly</w:t>
      </w:r>
    </w:p>
    <w:p w14:paraId="2D219B11" w14:textId="6A3EA2F7" w:rsidR="00BC4BF8" w:rsidRDefault="00DE1B78" w:rsidP="00DE1B78">
      <w:pPr>
        <w:rPr>
          <w:rFonts w:ascii="ƒQﬁ=Ó" w:hAnsi="ƒQﬁ=Ó" w:cs="ƒQﬁ=Ó"/>
          <w:color w:val="000000"/>
          <w:kern w:val="0"/>
          <w:sz w:val="22"/>
          <w:szCs w:val="22"/>
        </w:rPr>
      </w:pPr>
      <w:r>
        <w:rPr>
          <w:rFonts w:ascii="ƒQﬁ=Ó" w:hAnsi="ƒQﬁ=Ó" w:cs="ƒQﬁ=Ó"/>
          <w:color w:val="000000"/>
          <w:kern w:val="0"/>
          <w:sz w:val="22"/>
          <w:szCs w:val="22"/>
        </w:rPr>
        <w:t>Opening into further movement.</w:t>
      </w:r>
    </w:p>
    <w:p w14:paraId="4EF550CB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  <w:sz w:val="22"/>
          <w:szCs w:val="22"/>
        </w:rPr>
      </w:pPr>
      <w:r>
        <w:rPr>
          <w:rFonts w:ascii="ƒQﬁ=Ó" w:hAnsi="ƒQﬁ=Ó" w:cs="ƒQﬁ=Ó"/>
          <w:kern w:val="0"/>
          <w:sz w:val="22"/>
          <w:szCs w:val="22"/>
        </w:rPr>
        <w:t xml:space="preserve">Let the body move with each cycle – rising and </w:t>
      </w:r>
      <w:proofErr w:type="spellStart"/>
      <w:r>
        <w:rPr>
          <w:rFonts w:ascii="ƒQﬁ=Ó" w:hAnsi="ƒQﬁ=Ó" w:cs="ƒQﬁ=Ó"/>
          <w:kern w:val="0"/>
          <w:sz w:val="22"/>
          <w:szCs w:val="22"/>
        </w:rPr>
        <w:t>empting</w:t>
      </w:r>
      <w:proofErr w:type="spellEnd"/>
    </w:p>
    <w:p w14:paraId="34294D32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  <w:sz w:val="22"/>
          <w:szCs w:val="22"/>
        </w:rPr>
      </w:pPr>
      <w:r>
        <w:rPr>
          <w:rFonts w:ascii="ƒQﬁ=Ó" w:hAnsi="ƒQﬁ=Ó" w:cs="ƒQﬁ=Ó"/>
          <w:kern w:val="0"/>
          <w:sz w:val="22"/>
          <w:szCs w:val="22"/>
        </w:rPr>
        <w:t>Opening into the air around you</w:t>
      </w:r>
    </w:p>
    <w:p w14:paraId="2F833BA6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  <w:sz w:val="22"/>
          <w:szCs w:val="22"/>
        </w:rPr>
      </w:pPr>
      <w:r>
        <w:rPr>
          <w:rFonts w:ascii="ƒQﬁ=Ó" w:hAnsi="ƒQﬁ=Ó" w:cs="ƒQﬁ=Ó"/>
          <w:kern w:val="0"/>
          <w:sz w:val="22"/>
          <w:szCs w:val="22"/>
        </w:rPr>
        <w:t>A dance of the breath</w:t>
      </w:r>
    </w:p>
    <w:p w14:paraId="589429E4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Practice-as-Research (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>) proposes that the creative work of the artist can be undertaken and</w:t>
      </w:r>
    </w:p>
    <w:p w14:paraId="3CD2F9F9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kern w:val="0"/>
        </w:rPr>
        <w:t xml:space="preserve">acknowledged as a form of research.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 xml:space="preserve"> necessitates asking questions about arts practice and its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processes, as well as articulating and sharing research through artistic means. As Hazel Smith and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Roger Dean note,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 xml:space="preserve"> arises out of the idea ‘that creative work </w:t>
      </w:r>
      <w:proofErr w:type="gramStart"/>
      <w:r>
        <w:rPr>
          <w:rFonts w:ascii="ƒQﬁ=Ó" w:hAnsi="ƒQﬁ=Ó" w:cs="ƒQﬁ=Ó"/>
          <w:kern w:val="0"/>
        </w:rPr>
        <w:t>in itself is</w:t>
      </w:r>
      <w:proofErr w:type="gramEnd"/>
      <w:r>
        <w:rPr>
          <w:rFonts w:ascii="ƒQﬁ=Ó" w:hAnsi="ƒQﬁ=Ó" w:cs="ƒQﬁ=Ó"/>
          <w:kern w:val="0"/>
        </w:rPr>
        <w:t xml:space="preserve"> a form of research and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generates detectable research outputs’ (2009: 5). The product of creative work contributes to the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outcomes of a research process and to the ‘answering’ of a research question. Yet the rigorous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practices of artistic researchers remain, at times, at odds with conventional knowledge formation. As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such,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 xml:space="preserve"> has entailed the reassessment of the status of and relationships between processes of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making and processes of theorizing, wherein the research is not (only) thinking about art (as external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object) but is engaged in materially creative thinking within and through the practices of art making,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and, </w:t>
      </w:r>
    </w:p>
    <w:p w14:paraId="364D77B5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</w:p>
    <w:p w14:paraId="6C5DBC19" w14:textId="77777777" w:rsidR="00DE1B78" w:rsidRDefault="00DE1B78" w:rsidP="00DE1B78">
      <w:pPr>
        <w:pStyle w:val="Heading2"/>
      </w:pPr>
      <w:r>
        <w:t>2.</w:t>
      </w:r>
    </w:p>
    <w:p w14:paraId="6B893376" w14:textId="444D8114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color w:val="000000"/>
          <w:kern w:val="0"/>
        </w:rPr>
        <w:t>in this case, dance making, wherein making, beyond acts of more simply doing, encompasses</w:t>
      </w:r>
    </w:p>
    <w:p w14:paraId="0A1F7687" w14:textId="5C25FC2C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color w:val="000000"/>
          <w:kern w:val="0"/>
        </w:rPr>
        <w:t>reflective processes and products.</w:t>
      </w:r>
      <w:r>
        <w:rPr>
          <w:rFonts w:ascii="ƒQﬁ=Ó" w:hAnsi="ƒQﬁ=Ó" w:cs="ƒQﬁ=Ó"/>
          <w:color w:val="000000"/>
          <w:kern w:val="0"/>
        </w:rPr>
        <w:t xml:space="preserve">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(otherwise called artistic research, practice-based research and performance-as-research,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among others) has given rise to ontological, epistemological and methodological </w:t>
      </w:r>
      <w:r>
        <w:rPr>
          <w:rFonts w:ascii="ƒQﬁ=Ó" w:hAnsi="ƒQﬁ=Ó" w:cs="ƒQﬁ=Ó"/>
          <w:color w:val="0000FF"/>
          <w:kern w:val="0"/>
          <w:sz w:val="19"/>
          <w:szCs w:val="19"/>
        </w:rPr>
        <w:t xml:space="preserve">1 </w:t>
      </w:r>
      <w:proofErr w:type="gramStart"/>
      <w:r>
        <w:rPr>
          <w:rFonts w:ascii="ƒQﬁ=Ó" w:hAnsi="ƒQﬁ=Ó" w:cs="ƒQﬁ=Ó"/>
          <w:color w:val="000000"/>
          <w:kern w:val="0"/>
        </w:rPr>
        <w:t>questions</w:t>
      </w:r>
      <w:proofErr w:type="gramEnd"/>
      <w:r>
        <w:rPr>
          <w:rFonts w:ascii="ƒQﬁ=Ó" w:hAnsi="ƒQﬁ=Ó" w:cs="ƒQﬁ=Ó"/>
          <w:color w:val="000000"/>
          <w:kern w:val="0"/>
        </w:rPr>
        <w:t xml:space="preserve"> such as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these: What is the nature and modality </w:t>
      </w:r>
      <w:r>
        <w:rPr>
          <w:rFonts w:ascii="ƒQﬁ=Ó" w:hAnsi="ƒQﬁ=Ó" w:cs="ƒQﬁ=Ó"/>
          <w:color w:val="000000"/>
          <w:kern w:val="0"/>
        </w:rPr>
        <w:lastRenderedPageBreak/>
        <w:t xml:space="preserve">of knowledge in choreographic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>? What methodologies and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ways of working are at play in this approach to research? What can be discovered and shared through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choreographic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that other approaches do not reveal? How can the knowing and knowledge that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this modality foregrounds be made evident, and therefore shareable, in line with the responsibilities of</w:t>
      </w:r>
    </w:p>
    <w:p w14:paraId="136235A6" w14:textId="33724C4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color w:val="000000"/>
          <w:kern w:val="0"/>
        </w:rPr>
        <w:t>researchers to make their insights available to others?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I begin to address these questions by offering a brief overview of the methodological concerns of</w:t>
      </w:r>
      <w:r>
        <w:rPr>
          <w:rFonts w:ascii="ƒQﬁ=Ó" w:hAnsi="ƒQﬁ=Ó" w:cs="ƒQﬁ=Ó"/>
          <w:color w:val="000000"/>
          <w:kern w:val="0"/>
        </w:rPr>
        <w:t xml:space="preserve">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>, locating it within both established and emergent research paradigms. I then go on to suggest that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we need to understand the entanglement of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with epistemologies that are crucially embodied,</w:t>
      </w:r>
    </w:p>
    <w:p w14:paraId="72A869F9" w14:textId="61BAF0AD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color w:val="000000"/>
          <w:kern w:val="0"/>
        </w:rPr>
        <w:t xml:space="preserve">emphasizing the significance of motility and materialities in </w:t>
      </w:r>
      <w:proofErr w:type="spellStart"/>
      <w:r>
        <w:rPr>
          <w:rFonts w:ascii="ƒQﬁ=Ó" w:hAnsi="ƒQﬁ=Ó" w:cs="ƒQﬁ=Ó"/>
          <w:color w:val="000000"/>
          <w:kern w:val="0"/>
        </w:rPr>
        <w:t>PaR.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Here, experiential and embodied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knowing is brought into focus through anthropologist Tim Ingold’s (2011</w:t>
      </w:r>
      <w:proofErr w:type="gramStart"/>
      <w:r>
        <w:rPr>
          <w:rFonts w:ascii="ƒQﬁ=Ó" w:hAnsi="ƒQﬁ=Ó" w:cs="ƒQﬁ=Ó"/>
          <w:color w:val="000000"/>
          <w:kern w:val="0"/>
        </w:rPr>
        <w:t>b :</w:t>
      </w:r>
      <w:proofErr w:type="gramEnd"/>
      <w:r>
        <w:rPr>
          <w:rFonts w:ascii="ƒQﬁ=Ó" w:hAnsi="ƒQﬁ=Ó" w:cs="ƒQﬁ=Ó"/>
          <w:color w:val="000000"/>
          <w:kern w:val="0"/>
        </w:rPr>
        <w:t xml:space="preserve"> 17) notion of ‘</w:t>
      </w:r>
      <w:proofErr w:type="spellStart"/>
      <w:r>
        <w:rPr>
          <w:rFonts w:ascii="ƒQﬁ=Ó" w:hAnsi="ƒQﬁ=Ó" w:cs="ƒQﬁ=Ó"/>
          <w:color w:val="000000"/>
          <w:kern w:val="0"/>
        </w:rPr>
        <w:t>materialsin</w:t>
      </w:r>
      <w:proofErr w:type="spellEnd"/>
      <w:r>
        <w:rPr>
          <w:rFonts w:ascii="ƒQﬁ=Ó" w:hAnsi="ƒQﬁ=Ó" w:cs="ƒQﬁ=Ó"/>
          <w:color w:val="000000"/>
          <w:kern w:val="0"/>
        </w:rPr>
        <w:t>-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motion’, encompassing the work of the feet, as well as the hands and the head. Through these ideas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I foreground the significance of expert skill in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>, an area that has to date received little attention.</w:t>
      </w:r>
      <w:r>
        <w:rPr>
          <w:rFonts w:ascii="ƒQﬁ=Ó" w:hAnsi="ƒQﬁ=Ó" w:cs="ƒQﬁ=Ó"/>
          <w:color w:val="000000"/>
          <w:kern w:val="0"/>
        </w:rPr>
        <w:t xml:space="preserve">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is elaborated here as a form of </w:t>
      </w:r>
      <w:proofErr w:type="spellStart"/>
      <w:r>
        <w:rPr>
          <w:rFonts w:ascii="ƒQﬁ=Ó" w:hAnsi="ƒQﬁ=Ó" w:cs="ƒQﬁ=Ó"/>
          <w:color w:val="000000"/>
          <w:kern w:val="0"/>
        </w:rPr>
        <w:t>enskilled</w:t>
      </w:r>
      <w:proofErr w:type="spellEnd"/>
      <w:r>
        <w:rPr>
          <w:rFonts w:ascii="ƒQﬁ=Ó" w:hAnsi="ƒQﬁ=Ó" w:cs="ƒQﬁ=Ó"/>
          <w:color w:val="000000"/>
          <w:kern w:val="0"/>
        </w:rPr>
        <w:t>, in-process research. I note that in its embracing of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subjectivity and intuition,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is sometimes messy, but always reflective and reflexive in its methods.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In the final section, I offer a framework for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enquiries and discuss the often multi-modal and </w:t>
      </w:r>
      <w:proofErr w:type="spellStart"/>
      <w:r>
        <w:rPr>
          <w:rFonts w:ascii="ƒQﬁ=Ó" w:hAnsi="ƒQﬁ=Ó" w:cs="ƒQﬁ=Ó"/>
          <w:color w:val="000000"/>
          <w:kern w:val="0"/>
        </w:rPr>
        <w:t>multivoiced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outcomes of choreographic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to propose that the artistic researcher, via purposeful strategies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of emplacement, position their epistemic materials for diverse publics.</w:t>
      </w:r>
      <w:r>
        <w:rPr>
          <w:rFonts w:ascii="ƒQﬁ=Ó" w:hAnsi="ƒQﬁ=Ó" w:cs="ƒQﬁ=Ó"/>
          <w:color w:val="000000"/>
          <w:kern w:val="0"/>
        </w:rPr>
        <w:t xml:space="preserve">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has been driven largely by the perceived need to challenge conventional university paradigms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and is inculcated by the discourses of the academy, with debates circulating around the nature of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knowledge and the status of practice, extending conventionally accepted modalities in our universities.</w:t>
      </w:r>
    </w:p>
    <w:p w14:paraId="0A831980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</w:p>
    <w:p w14:paraId="77D602F3" w14:textId="498928F3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color w:val="000000"/>
          <w:kern w:val="0"/>
        </w:rPr>
        <w:t xml:space="preserve">At the same time,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has also emboldened us to extend our understanding of ‘the choreographic’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for </w:t>
      </w:r>
      <w:proofErr w:type="spellStart"/>
      <w:r>
        <w:rPr>
          <w:rFonts w:ascii="ƒQﬁ=Ó" w:hAnsi="ƒQﬁ=Ó" w:cs="ƒQﬁ=Ó"/>
          <w:color w:val="000000"/>
          <w:kern w:val="0"/>
        </w:rPr>
        <w:t>PaR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as an approach towards dance making is part of the wider shift towards ‘choreographic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thinking’ and the development of what have been called ‘choreographic objects’ (see Forsythe n.d.;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 xml:space="preserve">Joy 2014; </w:t>
      </w:r>
      <w:proofErr w:type="spellStart"/>
      <w:r>
        <w:rPr>
          <w:rFonts w:ascii="ƒQﬁ=Ó" w:hAnsi="ƒQﬁ=Ó" w:cs="ƒQﬁ=Ó"/>
          <w:color w:val="000000"/>
          <w:kern w:val="0"/>
        </w:rPr>
        <w:t>Lepecki</w:t>
      </w:r>
      <w:proofErr w:type="spellEnd"/>
      <w:r>
        <w:rPr>
          <w:rFonts w:ascii="ƒQﬁ=Ó" w:hAnsi="ƒQﬁ=Ó" w:cs="ƒQﬁ=Ó"/>
          <w:color w:val="000000"/>
          <w:kern w:val="0"/>
        </w:rPr>
        <w:t xml:space="preserve"> 2006; McGregor n.d.).</w:t>
      </w:r>
    </w:p>
    <w:p w14:paraId="7E2D9C0A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</w:p>
    <w:p w14:paraId="12CAEB0F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 xml:space="preserve">As such, the insights and potentialities of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 xml:space="preserve"> can be seen to be part of contemporary</w:t>
      </w:r>
    </w:p>
    <w:p w14:paraId="0DA85EF7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 xml:space="preserve">choreographic developments more broadly. Indeed, the synchronous developments of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 xml:space="preserve"> and</w:t>
      </w:r>
    </w:p>
    <w:p w14:paraId="357DA290" w14:textId="38A239F2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contemporary or experimental dance making through the 1990s onwards are clear. Both evidence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increasing interdisciplinarity and deep levels of contextual awareness, including knowledge of the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relatedness of the wide field of choreographic practice to critical discourses. They each encompass</w:t>
      </w:r>
    </w:p>
    <w:p w14:paraId="6B1CC950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</w:p>
    <w:p w14:paraId="08756B48" w14:textId="17C7ABE6" w:rsidR="00DE1B78" w:rsidRDefault="00DE1B78" w:rsidP="0039216B">
      <w:pPr>
        <w:pStyle w:val="Heading2"/>
      </w:pPr>
      <w:r>
        <w:t>3.</w:t>
      </w:r>
    </w:p>
    <w:p w14:paraId="026A63CC" w14:textId="51A6ABFB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color w:val="000000"/>
          <w:kern w:val="0"/>
        </w:rPr>
        <w:t>reflexive and rigorous processes, which have been sustained through extended periods (if not years) of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work, and they can each be seen to extend the choreographic field through the development of print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and digital objects.</w:t>
      </w:r>
      <w:r>
        <w:rPr>
          <w:rFonts w:ascii="ƒQﬁ=Ó" w:hAnsi="ƒQﬁ=Ó" w:cs="ƒQﬁ=Ó"/>
          <w:color w:val="0000FF"/>
          <w:kern w:val="0"/>
          <w:sz w:val="19"/>
          <w:szCs w:val="19"/>
        </w:rPr>
        <w:t>3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This is not to say that all dance making is research but that there are many parallels to be found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between the practices of the contemporary dance makers and the practices developed more explicitly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and intentionally as research activities emerging from within universities. Indeed, these parallel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interests can been seen to be co-constituting a field in which dance making is being refigured as a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knowledge practice, a field no longer defined in a disciplinary fashion by style or genre, for example,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but by an approach in which the choreographic reaches out from its associations with dance as a set of</w:t>
      </w:r>
      <w:r>
        <w:rPr>
          <w:rFonts w:ascii="ƒQﬁ=Ó" w:hAnsi="ƒQﬁ=Ó" w:cs="ƒQﬁ=Ó"/>
          <w:color w:val="000000"/>
          <w:kern w:val="0"/>
        </w:rPr>
        <w:t xml:space="preserve"> </w:t>
      </w:r>
      <w:r>
        <w:rPr>
          <w:rFonts w:ascii="ƒQﬁ=Ó" w:hAnsi="ƒQﬁ=Ó" w:cs="ƒQﬁ=Ó"/>
          <w:color w:val="000000"/>
          <w:kern w:val="0"/>
        </w:rPr>
        <w:t>language possibilities and production protocols becoming instead a research practice that finds many</w:t>
      </w:r>
    </w:p>
    <w:p w14:paraId="2661CC14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  <w:r>
        <w:rPr>
          <w:rFonts w:ascii="ƒQﬁ=Ó" w:hAnsi="ƒQﬁ=Ó" w:cs="ƒQﬁ=Ó"/>
          <w:color w:val="000000"/>
          <w:kern w:val="0"/>
        </w:rPr>
        <w:lastRenderedPageBreak/>
        <w:t>modes of articulation in the world.</w:t>
      </w:r>
      <w:r>
        <w:rPr>
          <w:rFonts w:ascii="ƒQﬁ=Ó" w:hAnsi="ƒQﬁ=Ó" w:cs="ƒQﬁ=Ó"/>
          <w:color w:val="000000"/>
          <w:kern w:val="0"/>
        </w:rPr>
        <w:t xml:space="preserve"> </w:t>
      </w:r>
    </w:p>
    <w:p w14:paraId="51F57AEE" w14:textId="77777777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color w:val="000000"/>
          <w:kern w:val="0"/>
        </w:rPr>
      </w:pPr>
    </w:p>
    <w:p w14:paraId="263ABF35" w14:textId="2660C8E1" w:rsidR="00DE1B78" w:rsidRDefault="00DE1B78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Inherently concerned with aesthetic and experiential embodiments, choreographic research can be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seen to elaborate what Jenn Joy has described as the ‘possibility of sensual address’ (2014: 1). Such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sensual address can perhaps reveal ‘less visible, less legible moments of art, of history, and of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knowledge production’ to offer a ‘productive disciplinary and discursive intervention’ (Joy 2014: 4).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Before I turn to my first topic for discussion, a word about the insertions you will find throughout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this chapter. The insertions are of two types. First, you will find three short case studies of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choreographic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>: by Carol Brown Lost + Found [dances of exile] with Thomas Kampe;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Performing Age(</w:t>
      </w:r>
      <w:proofErr w:type="spellStart"/>
      <w:r>
        <w:rPr>
          <w:rFonts w:ascii="ƒQﬁ=Ó" w:hAnsi="ƒQﬁ=Ó" w:cs="ƒQﬁ=Ó"/>
          <w:kern w:val="0"/>
        </w:rPr>
        <w:t>ing</w:t>
      </w:r>
      <w:proofErr w:type="spellEnd"/>
      <w:r>
        <w:rPr>
          <w:rFonts w:ascii="ƒQﬁ=Ó" w:hAnsi="ƒQﬁ=Ó" w:cs="ƒQﬁ=Ó"/>
          <w:kern w:val="0"/>
        </w:rPr>
        <w:t>) by Susanne Martin; Scratch, co-devised by myself and Jane Bacon. These offer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brief insights into research projects that, in turn, explore archival, socio-aesthetic politics and</w:t>
      </w:r>
      <w:r>
        <w:rPr>
          <w:rFonts w:ascii="ƒQﬁ=Ó" w:hAnsi="ƒQﬁ=Ó" w:cs="ƒQﬁ=Ó"/>
          <w:kern w:val="0"/>
        </w:rPr>
        <w:t xml:space="preserve"> </w:t>
      </w:r>
      <w:proofErr w:type="spellStart"/>
      <w:r>
        <w:rPr>
          <w:rFonts w:ascii="ƒQﬁ=Ó" w:hAnsi="ƒQﬁ=Ó" w:cs="ƒQﬁ=Ó"/>
          <w:kern w:val="0"/>
        </w:rPr>
        <w:t>languaging</w:t>
      </w:r>
      <w:proofErr w:type="spellEnd"/>
      <w:r>
        <w:rPr>
          <w:rFonts w:ascii="ƒQﬁ=Ó" w:hAnsi="ƒQﬁ=Ó" w:cs="ƒQﬁ=Ó"/>
          <w:kern w:val="0"/>
        </w:rPr>
        <w:t xml:space="preserve"> of the experiential. They serve as examples, revealing something of the plethora of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research enquiries choreographic researchers are embracing. These case studies are found in the grey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boxes.</w:t>
      </w:r>
    </w:p>
    <w:p w14:paraId="43650B56" w14:textId="77777777" w:rsidR="0039216B" w:rsidRDefault="0039216B" w:rsidP="00DE1B78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</w:p>
    <w:p w14:paraId="7F781C60" w14:textId="1A7FDBF9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 xml:space="preserve">Secondly, there are a series of creative scores and micro-research tasks that circulate around </w:t>
      </w:r>
      <w:proofErr w:type="spellStart"/>
      <w:r>
        <w:rPr>
          <w:rFonts w:ascii="ƒQﬁ=Ó" w:hAnsi="ƒQﬁ=Ó" w:cs="ƒQﬁ=Ó"/>
          <w:kern w:val="0"/>
        </w:rPr>
        <w:t>thetheme</w:t>
      </w:r>
      <w:proofErr w:type="spellEnd"/>
      <w:r>
        <w:rPr>
          <w:rFonts w:ascii="ƒQﬁ=Ó" w:hAnsi="ƒQﬁ=Ó" w:cs="ƒQﬁ=Ó"/>
          <w:kern w:val="0"/>
        </w:rPr>
        <w:t xml:space="preserve"> of breath and breathing; as a materially embodied practice, it is something that we all share.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Further, breath might be usefully thought of as a bridge that connects life to consciousness. Here the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inserted tasks and activities related to </w:t>
      </w:r>
      <w:proofErr w:type="gramStart"/>
      <w:r>
        <w:rPr>
          <w:rFonts w:ascii="ƒQﬁ=Ó" w:hAnsi="ƒQﬁ=Ó" w:cs="ƒQﬁ=Ó"/>
          <w:kern w:val="0"/>
        </w:rPr>
        <w:t>breath</w:t>
      </w:r>
      <w:proofErr w:type="gramEnd"/>
      <w:r>
        <w:rPr>
          <w:rFonts w:ascii="ƒQﬁ=Ó" w:hAnsi="ƒQﬁ=Ó" w:cs="ƒQﬁ=Ó"/>
          <w:kern w:val="0"/>
        </w:rPr>
        <w:t xml:space="preserve"> are intended to act as micro-examples of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>,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intersecting with the otherwise meta-discursive writing, providing a springboard for the reader to </w:t>
      </w:r>
      <w:proofErr w:type="gramStart"/>
      <w:r>
        <w:rPr>
          <w:rFonts w:ascii="ƒQﬁ=Ó" w:hAnsi="ƒQﬁ=Ó" w:cs="ƒQﬁ=Ó"/>
          <w:kern w:val="0"/>
        </w:rPr>
        <w:t>enter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into</w:t>
      </w:r>
      <w:proofErr w:type="gramEnd"/>
      <w:r>
        <w:rPr>
          <w:rFonts w:ascii="ƒQﬁ=Ó" w:hAnsi="ƒQﬁ=Ó" w:cs="ƒQﬁ=Ó"/>
          <w:kern w:val="0"/>
        </w:rPr>
        <w:t xml:space="preserve"> a reconsideration of dance making when undertaken as a mode of </w:t>
      </w:r>
      <w:proofErr w:type="spellStart"/>
      <w:r>
        <w:rPr>
          <w:rFonts w:ascii="ƒQﬁ=Ó" w:hAnsi="ƒQﬁ=Ó" w:cs="ƒQﬁ=Ó"/>
          <w:kern w:val="0"/>
        </w:rPr>
        <w:t>PaR.</w:t>
      </w:r>
      <w:proofErr w:type="spellEnd"/>
      <w:r>
        <w:rPr>
          <w:rFonts w:ascii="ƒQﬁ=Ó" w:hAnsi="ƒQﬁ=Ó" w:cs="ƒQﬁ=Ó"/>
          <w:kern w:val="0"/>
        </w:rPr>
        <w:t xml:space="preserve"> The scores and tasks also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implicitly speak to the material and in-motion nature of this approach to research, encouraging an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experiential ‘entering into’ of a research process in modes that are physical, critically creative and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playful. I invite you to lift your eyes from the page or screen and to shift from reading to moving, to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drawing and to writing that you might activate different ways of knowing through these doings.</w:t>
      </w:r>
    </w:p>
    <w:p w14:paraId="01A60394" w14:textId="77777777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</w:p>
    <w:p w14:paraId="3A477043" w14:textId="65B35506" w:rsidR="0039216B" w:rsidRDefault="0039216B" w:rsidP="0039216B">
      <w:pPr>
        <w:pStyle w:val="Heading2"/>
      </w:pPr>
      <w:r>
        <w:t>9.</w:t>
      </w:r>
    </w:p>
    <w:p w14:paraId="09FF7535" w14:textId="77777777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In choreographic research we might say that ‘being and knowing meet’ (</w:t>
      </w:r>
      <w:proofErr w:type="spellStart"/>
      <w:r>
        <w:rPr>
          <w:rFonts w:ascii="ƒQﬁ=Ó" w:hAnsi="ƒQﬁ=Ó" w:cs="ƒQﬁ=Ó"/>
          <w:kern w:val="0"/>
        </w:rPr>
        <w:t>Todres</w:t>
      </w:r>
      <w:proofErr w:type="spellEnd"/>
      <w:r>
        <w:rPr>
          <w:rFonts w:ascii="ƒQﬁ=Ó" w:hAnsi="ƒQﬁ=Ó" w:cs="ƒQﬁ=Ó"/>
          <w:kern w:val="0"/>
        </w:rPr>
        <w:t xml:space="preserve"> 2007: 40). Here</w:t>
      </w:r>
    </w:p>
    <w:p w14:paraId="554DBB32" w14:textId="0BBAA98F" w:rsidR="0039216B" w:rsidRP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physical, experiential and emotional understandings are infused with aesthetic, ethical, philosophical,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theoretical and historical knowledges, for these are not separable elements. Layering and intersecting,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forming and informing, these different ways of knowing combine such that thinking and doing are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integrated in the whole being. </w:t>
      </w:r>
      <w:proofErr w:type="gramStart"/>
      <w:r>
        <w:rPr>
          <w:rFonts w:ascii="ƒQﬁ=Ó" w:hAnsi="ƒQﬁ=Ó" w:cs="ƒQﬁ=Ó"/>
          <w:kern w:val="0"/>
        </w:rPr>
        <w:t>Therefore</w:t>
      </w:r>
      <w:proofErr w:type="gramEnd"/>
      <w:r>
        <w:rPr>
          <w:rFonts w:ascii="ƒQﬁ=Ó" w:hAnsi="ƒQﬁ=Ó" w:cs="ƒQﬁ=Ó"/>
          <w:kern w:val="0"/>
        </w:rPr>
        <w:t xml:space="preserve"> in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>, embodied knowing shapes and informs (implicitly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and sometimes explicitly) moments of movement and evolving patterns. It becomes clear that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choreographic research practice is not a (simple) demonstration of theories; the theory is not causal.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Rather,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 xml:space="preserve"> involves thinking through doing, unpacking assumptions about the practice through the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practice, such that the researcher enters into a dialogue with her emerging materials and the creative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processes develop through internally derived, often non-linear, logics. In this way, the knowledge that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is embodied in movement is not simply pre-</w:t>
      </w:r>
      <w:proofErr w:type="spellStart"/>
      <w:r>
        <w:rPr>
          <w:rFonts w:ascii="ƒQﬁ=Ó" w:hAnsi="ƒQﬁ=Ó" w:cs="ƒQﬁ=Ó"/>
          <w:kern w:val="0"/>
        </w:rPr>
        <w:t>cognative</w:t>
      </w:r>
      <w:proofErr w:type="spellEnd"/>
      <w:r>
        <w:rPr>
          <w:rFonts w:ascii="ƒQﬁ=Ó" w:hAnsi="ƒQﬁ=Ó" w:cs="ƒQﬁ=Ó"/>
          <w:kern w:val="0"/>
        </w:rPr>
        <w:t xml:space="preserve"> nor is it a demonstration of a pre-theorized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intellectual position. As Tim Ingold evocatively notes,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  <w:sz w:val="22"/>
          <w:szCs w:val="22"/>
        </w:rPr>
        <w:t>to move, to know, and to describe are not separate</w:t>
      </w:r>
      <w:r>
        <w:rPr>
          <w:rFonts w:ascii="ƒQﬁ=Ó" w:hAnsi="ƒQﬁ=Ó" w:cs="ƒQﬁ=Ó"/>
          <w:kern w:val="0"/>
          <w:sz w:val="22"/>
          <w:szCs w:val="22"/>
        </w:rPr>
        <w:t xml:space="preserve"> </w:t>
      </w:r>
      <w:r>
        <w:rPr>
          <w:rFonts w:ascii="ƒQﬁ=Ó" w:hAnsi="ƒQﬁ=Ó" w:cs="ƒQﬁ=Ó"/>
          <w:kern w:val="0"/>
          <w:sz w:val="22"/>
          <w:szCs w:val="22"/>
        </w:rPr>
        <w:t>operations that follow each other in series, but rather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  <w:sz w:val="22"/>
          <w:szCs w:val="22"/>
        </w:rPr>
        <w:t>parallel facets of the same process – that of life itself. It is by moving that we know, and it is by moving, too,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  <w:sz w:val="22"/>
          <w:szCs w:val="22"/>
        </w:rPr>
        <w:t>that we describe. (2011b: xii)</w:t>
      </w:r>
    </w:p>
    <w:p w14:paraId="0942B4D6" w14:textId="4CC24BE0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Significantly, as embodied knowing beings, we understand the world without recourse to symbolic or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representational processing, that is, without explicit symbol, sign and image </w:t>
      </w:r>
      <w:r>
        <w:rPr>
          <w:rFonts w:ascii="ƒQﬁ=Ó" w:hAnsi="ƒQﬁ=Ó" w:cs="ƒQﬁ=Ó"/>
          <w:kern w:val="0"/>
        </w:rPr>
        <w:lastRenderedPageBreak/>
        <w:t>manipulation as aligned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to representational thinking, emphasizing instead materiality and motion. While materiality has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usually been applied to the visual arts, craftwork and the study of artefacts (in other words, to objects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and activities we can see and touch), material thinking has the potential to be understood as the basis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of choreographic research.</w:t>
      </w:r>
    </w:p>
    <w:p w14:paraId="09F94F12" w14:textId="77777777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</w:p>
    <w:p w14:paraId="51DBCB58" w14:textId="61076C57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The term ‘material thinking’ is borrowed from the title of Paul Carter’s 2004 book. Here, he</w:t>
      </w:r>
    </w:p>
    <w:p w14:paraId="24C786BB" w14:textId="49865E7A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  <w:r>
        <w:rPr>
          <w:rFonts w:ascii="ƒQﬁ=Ó" w:hAnsi="ƒQﬁ=Ó" w:cs="ƒQﬁ=Ó"/>
          <w:kern w:val="0"/>
        </w:rPr>
        <w:t>usefully illuminates the material processes of making and, in his conception, materials are not just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passive objects to be used instrumentally by the artist, but rather materials and processes of production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have their own intelligence. This intelligence comes into play in an interaction with the artist’s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creative intelligence and is foregrounded when artists about what they are doing. talk This concept has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been elaborated by Bolt (2010) into terms of ‘</w:t>
      </w:r>
      <w:proofErr w:type="spellStart"/>
      <w:r>
        <w:rPr>
          <w:rFonts w:ascii="ƒQﬁ=Ó" w:hAnsi="ƒQﬁ=Ó" w:cs="ƒQﬁ=Ó"/>
          <w:kern w:val="0"/>
        </w:rPr>
        <w:t>handability</w:t>
      </w:r>
      <w:proofErr w:type="spellEnd"/>
      <w:r>
        <w:rPr>
          <w:rFonts w:ascii="ƒQﬁ=Ó" w:hAnsi="ƒQﬁ=Ó" w:cs="ƒQﬁ=Ó"/>
          <w:kern w:val="0"/>
        </w:rPr>
        <w:t>’ and ‘material production’. She suggests that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rather than through talking, ‘material thinking’ arises in relation to the materials and processes of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practice, stating: ‘Material thinking is the logic of practice’ (Bolt 2010: 30). She describes how </w:t>
      </w:r>
      <w:proofErr w:type="spellStart"/>
      <w:r>
        <w:rPr>
          <w:rFonts w:ascii="ƒQﬁ=Ó" w:hAnsi="ƒQﬁ=Ó" w:cs="ƒQﬁ=Ó"/>
          <w:kern w:val="0"/>
        </w:rPr>
        <w:t>PaR</w:t>
      </w:r>
      <w:proofErr w:type="spellEnd"/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>entails handling materials such that materials, ideas and processes are not (only) to be used to generate</w:t>
      </w:r>
      <w:r>
        <w:rPr>
          <w:rFonts w:ascii="ƒQﬁ=Ó" w:hAnsi="ƒQﬁ=Ó" w:cs="ƒQﬁ=Ó"/>
          <w:kern w:val="0"/>
        </w:rPr>
        <w:t xml:space="preserve"> </w:t>
      </w:r>
      <w:r>
        <w:rPr>
          <w:rFonts w:ascii="ƒQﬁ=Ó" w:hAnsi="ƒQﬁ=Ó" w:cs="ƒQﬁ=Ó"/>
          <w:kern w:val="0"/>
        </w:rPr>
        <w:t xml:space="preserve">a theorization but are an emergent form of </w:t>
      </w:r>
      <w:proofErr w:type="gramStart"/>
      <w:r>
        <w:rPr>
          <w:rFonts w:ascii="ƒQﬁ=Ó" w:hAnsi="ƒQﬁ=Ó" w:cs="ƒQﬁ=Ó"/>
          <w:kern w:val="0"/>
        </w:rPr>
        <w:t>knowledge in their own right</w:t>
      </w:r>
      <w:proofErr w:type="gramEnd"/>
      <w:r>
        <w:rPr>
          <w:rFonts w:ascii="ƒQﬁ=Ó" w:hAnsi="ƒQﬁ=Ó" w:cs="ƒQﬁ=Ó"/>
          <w:kern w:val="0"/>
        </w:rPr>
        <w:t>.</w:t>
      </w:r>
    </w:p>
    <w:p w14:paraId="21E73A81" w14:textId="77777777" w:rsidR="0039216B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</w:p>
    <w:p w14:paraId="5265009A" w14:textId="77750ABA" w:rsidR="0039216B" w:rsidRPr="00DE1B78" w:rsidRDefault="0039216B" w:rsidP="0039216B">
      <w:pPr>
        <w:autoSpaceDE w:val="0"/>
        <w:autoSpaceDN w:val="0"/>
        <w:adjustRightInd w:val="0"/>
        <w:spacing w:after="0" w:line="240" w:lineRule="auto"/>
        <w:rPr>
          <w:rFonts w:ascii="ƒQﬁ=Ó" w:hAnsi="ƒQﬁ=Ó" w:cs="ƒQﬁ=Ó"/>
          <w:kern w:val="0"/>
        </w:rPr>
      </w:pPr>
    </w:p>
    <w:sectPr w:rsidR="0039216B" w:rsidRPr="00DE1B78" w:rsidSect="0039216B">
      <w:pgSz w:w="12240" w:h="15840"/>
      <w:pgMar w:top="61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D0519" w14:textId="77777777" w:rsidR="004B53F7" w:rsidRDefault="004B53F7" w:rsidP="00DE1B78">
      <w:pPr>
        <w:spacing w:after="0" w:line="240" w:lineRule="auto"/>
      </w:pPr>
      <w:r>
        <w:separator/>
      </w:r>
    </w:p>
  </w:endnote>
  <w:endnote w:type="continuationSeparator" w:id="0">
    <w:p w14:paraId="1C4A1521" w14:textId="77777777" w:rsidR="004B53F7" w:rsidRDefault="004B53F7" w:rsidP="00DE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ƒQﬁ=Ó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E6CDCE" w14:textId="77777777" w:rsidR="004B53F7" w:rsidRDefault="004B53F7" w:rsidP="00DE1B78">
      <w:pPr>
        <w:spacing w:after="0" w:line="240" w:lineRule="auto"/>
      </w:pPr>
      <w:r>
        <w:separator/>
      </w:r>
    </w:p>
  </w:footnote>
  <w:footnote w:type="continuationSeparator" w:id="0">
    <w:p w14:paraId="2DA337AE" w14:textId="77777777" w:rsidR="004B53F7" w:rsidRDefault="004B53F7" w:rsidP="00DE1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78"/>
    <w:rsid w:val="00155583"/>
    <w:rsid w:val="0028394D"/>
    <w:rsid w:val="002E256C"/>
    <w:rsid w:val="003719D0"/>
    <w:rsid w:val="0039216B"/>
    <w:rsid w:val="004B53F7"/>
    <w:rsid w:val="00616972"/>
    <w:rsid w:val="007A4A12"/>
    <w:rsid w:val="00902733"/>
    <w:rsid w:val="00BC4BF8"/>
    <w:rsid w:val="00D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347220"/>
  <w15:chartTrackingRefBased/>
  <w15:docId w15:val="{B4667601-5FE2-574B-8008-2ED55C6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1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B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B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B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B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B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B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B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B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B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B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B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1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B78"/>
  </w:style>
  <w:style w:type="paragraph" w:styleId="Footer">
    <w:name w:val="footer"/>
    <w:basedOn w:val="Normal"/>
    <w:link w:val="FooterChar"/>
    <w:uiPriority w:val="99"/>
    <w:unhideWhenUsed/>
    <w:rsid w:val="00DE1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B78"/>
  </w:style>
  <w:style w:type="character" w:customStyle="1" w:styleId="normaltextrun">
    <w:name w:val="normaltextrun"/>
    <w:basedOn w:val="DefaultParagraphFont"/>
    <w:rsid w:val="00DE1B78"/>
  </w:style>
  <w:style w:type="character" w:customStyle="1" w:styleId="eop">
    <w:name w:val="eop"/>
    <w:basedOn w:val="DefaultParagraphFont"/>
    <w:rsid w:val="00DE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Carrasco</dc:creator>
  <cp:keywords/>
  <dc:description/>
  <cp:lastModifiedBy>Tammy Carrasco</cp:lastModifiedBy>
  <cp:revision>1</cp:revision>
  <dcterms:created xsi:type="dcterms:W3CDTF">2026-08-13T14:40:00Z</dcterms:created>
  <dcterms:modified xsi:type="dcterms:W3CDTF">2026-08-13T14:57:00Z</dcterms:modified>
</cp:coreProperties>
</file>