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F0991" w14:textId="77777777" w:rsidR="00276572" w:rsidRDefault="00CC37FF" w:rsidP="00CC37FF">
      <w:r>
        <w:t xml:space="preserve">Translation </w:t>
      </w:r>
      <w:proofErr w:type="spellStart"/>
      <w:r>
        <w:t>Apelt</w:t>
      </w:r>
      <w:proofErr w:type="spellEnd"/>
      <w:r>
        <w:t xml:space="preserve"> 47-48, “</w:t>
      </w:r>
      <w:proofErr w:type="spellStart"/>
      <w:r>
        <w:t>Jugendstil</w:t>
      </w:r>
      <w:proofErr w:type="spellEnd"/>
      <w:r>
        <w:t>”</w:t>
      </w:r>
    </w:p>
    <w:p w14:paraId="014EC930" w14:textId="77777777" w:rsidR="00CC37FF" w:rsidRDefault="00CC37FF" w:rsidP="00CC37FF"/>
    <w:p w14:paraId="4688D934" w14:textId="04FBD2B7" w:rsidR="00CC37FF" w:rsidRDefault="00CC37FF" w:rsidP="00773553">
      <w:pPr>
        <w:spacing w:line="480" w:lineRule="auto"/>
        <w:ind w:firstLine="720"/>
      </w:pPr>
      <w:r>
        <w:t xml:space="preserve">The designation/term </w:t>
      </w:r>
      <w:bookmarkStart w:id="0" w:name="_GoBack"/>
      <w:bookmarkEnd w:id="0"/>
      <w:r>
        <w:t>“</w:t>
      </w:r>
      <w:proofErr w:type="spellStart"/>
      <w:r>
        <w:t>Jugendstil</w:t>
      </w:r>
      <w:proofErr w:type="spellEnd"/>
      <w:r>
        <w:t xml:space="preserve">” (Art </w:t>
      </w:r>
      <w:proofErr w:type="spellStart"/>
      <w:r>
        <w:t>Noveau</w:t>
      </w:r>
      <w:proofErr w:type="spellEnd"/>
      <w:r>
        <w:t xml:space="preserve">) comes from the title of the Munich art journal “Die </w:t>
      </w:r>
      <w:proofErr w:type="spellStart"/>
      <w:r>
        <w:t>Jugend</w:t>
      </w:r>
      <w:proofErr w:type="spellEnd"/>
      <w:r>
        <w:t xml:space="preserve">” (Youth).  In Germany </w:t>
      </w:r>
      <w:r>
        <w:t>“</w:t>
      </w:r>
      <w:proofErr w:type="spellStart"/>
      <w:r>
        <w:t>Jugendstil</w:t>
      </w:r>
      <w:proofErr w:type="spellEnd"/>
      <w:r>
        <w:t>”</w:t>
      </w:r>
      <w:r>
        <w:t xml:space="preserve"> designates an art movement. In </w:t>
      </w:r>
      <w:proofErr w:type="gramStart"/>
      <w:r>
        <w:t>England</w:t>
      </w:r>
      <w:proofErr w:type="gramEnd"/>
      <w:r>
        <w:t xml:space="preserve"> it is called “modern style” and in France “art nouveau.”  Around 1900 it (</w:t>
      </w:r>
      <w:proofErr w:type="spellStart"/>
      <w:r>
        <w:t>Jugendstil</w:t>
      </w:r>
      <w:proofErr w:type="spellEnd"/>
      <w:r>
        <w:t xml:space="preserve">) was in its overall heyday. </w:t>
      </w:r>
    </w:p>
    <w:p w14:paraId="0B018486" w14:textId="057864AA" w:rsidR="00CC37FF" w:rsidRDefault="00CC37FF" w:rsidP="00773553">
      <w:pPr>
        <w:spacing w:line="480" w:lineRule="auto"/>
        <w:ind w:firstLine="720"/>
      </w:pPr>
      <w:proofErr w:type="spellStart"/>
      <w:r>
        <w:t>Jugendstil</w:t>
      </w:r>
      <w:proofErr w:type="spellEnd"/>
      <w:r>
        <w:t xml:space="preserve"> is a style with baroque fullness and delicate Romanticism. The influence of </w:t>
      </w:r>
      <w:proofErr w:type="spellStart"/>
      <w:r>
        <w:t>Jugendstil</w:t>
      </w:r>
      <w:proofErr w:type="spellEnd"/>
      <w:r>
        <w:t xml:space="preserve"> on painting and the graphic arts is great. The expressive, sometimes only decorative lines, the </w:t>
      </w:r>
      <w:r w:rsidR="00F20049">
        <w:t>flickering co</w:t>
      </w:r>
      <w:r>
        <w:t xml:space="preserve">ntours </w:t>
      </w:r>
      <w:r w:rsidR="00F20049">
        <w:t xml:space="preserve">of </w:t>
      </w:r>
      <w:proofErr w:type="spellStart"/>
      <w:r w:rsidR="00F20049">
        <w:t>Jugendstil</w:t>
      </w:r>
      <w:proofErr w:type="spellEnd"/>
      <w:r w:rsidR="00F20049">
        <w:t xml:space="preserve"> appear quite clearly in the last pictures of van Gogh and </w:t>
      </w:r>
      <w:r w:rsidR="00E536E0">
        <w:t xml:space="preserve">Seurat; they are unmistakable in the wood carvings of Gauguin and </w:t>
      </w:r>
      <w:proofErr w:type="spellStart"/>
      <w:r w:rsidR="00E536E0">
        <w:t>Vallotton</w:t>
      </w:r>
      <w:proofErr w:type="spellEnd"/>
      <w:r w:rsidR="00E536E0">
        <w:t xml:space="preserve">. </w:t>
      </w:r>
      <w:r w:rsidR="004215B8">
        <w:t>They ar</w:t>
      </w:r>
      <w:r w:rsidR="00E536E0">
        <w:t>e characteristic of the works of Lautrec and the beginnings of Munch and Kokoschka.</w:t>
      </w:r>
    </w:p>
    <w:p w14:paraId="76BA8607" w14:textId="12368DE1" w:rsidR="004215B8" w:rsidRDefault="004215B8" w:rsidP="00773553">
      <w:pPr>
        <w:spacing w:line="480" w:lineRule="auto"/>
        <w:ind w:firstLine="720"/>
      </w:pPr>
      <w:r>
        <w:t xml:space="preserve">The artistic atmosphere of the “Fin du siècle” is very complex. Many literary and philosophical and scientific influences had an effect. </w:t>
      </w:r>
      <w:proofErr w:type="gramStart"/>
      <w:r w:rsidR="009F1A85">
        <w:t>Thus</w:t>
      </w:r>
      <w:proofErr w:type="gramEnd"/>
      <w:r w:rsidR="009F1A85">
        <w:t xml:space="preserve"> one can only isolate the typical style of 1900 from the numerous, expressionistic and symbolist </w:t>
      </w:r>
      <w:r w:rsidR="003B418D">
        <w:t xml:space="preserve">currents with difficulty.  The cast iron arabesques of the Paris </w:t>
      </w:r>
      <w:proofErr w:type="spellStart"/>
      <w:r w:rsidR="003B418D">
        <w:t>Métro</w:t>
      </w:r>
      <w:proofErr w:type="spellEnd"/>
      <w:r w:rsidR="003B418D">
        <w:t xml:space="preserve"> entrances are among the typical testimonies to the taste of 1900.</w:t>
      </w:r>
    </w:p>
    <w:p w14:paraId="5445C572" w14:textId="3D5D47DA" w:rsidR="00CC37FF" w:rsidRDefault="006E74C1" w:rsidP="00773553">
      <w:pPr>
        <w:spacing w:line="480" w:lineRule="auto"/>
        <w:ind w:firstLine="720"/>
      </w:pPr>
      <w:r>
        <w:t>The beginnings of the movement lie with Ruskin.</w:t>
      </w:r>
      <w:r w:rsidR="00773553">
        <w:t xml:space="preserve"> The hero of the modern style in England is the talented young mannerist Aubrey Beardsley. Toulouse-Lautrec, </w:t>
      </w:r>
      <w:proofErr w:type="spellStart"/>
      <w:r w:rsidR="00773553">
        <w:t>Steinlen</w:t>
      </w:r>
      <w:proofErr w:type="spellEnd"/>
      <w:r w:rsidR="00773553">
        <w:t xml:space="preserve">, </w:t>
      </w:r>
      <w:proofErr w:type="spellStart"/>
      <w:r w:rsidR="00773553">
        <w:t>Chéret</w:t>
      </w:r>
      <w:proofErr w:type="spellEnd"/>
      <w:r w:rsidR="00773553">
        <w:t xml:space="preserve"> and </w:t>
      </w:r>
      <w:proofErr w:type="spellStart"/>
      <w:r w:rsidR="00773553">
        <w:t>Cappiello</w:t>
      </w:r>
      <w:proofErr w:type="spellEnd"/>
      <w:r w:rsidR="00773553">
        <w:t xml:space="preserve"> are the great masters of the lithographic poster.</w:t>
      </w:r>
    </w:p>
    <w:sectPr w:rsidR="00CC37FF" w:rsidSect="002076DD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FF"/>
    <w:rsid w:val="00172EC4"/>
    <w:rsid w:val="002076DD"/>
    <w:rsid w:val="003B418D"/>
    <w:rsid w:val="004215B8"/>
    <w:rsid w:val="005E32CB"/>
    <w:rsid w:val="00667954"/>
    <w:rsid w:val="006E74C1"/>
    <w:rsid w:val="00723D39"/>
    <w:rsid w:val="00773553"/>
    <w:rsid w:val="00812240"/>
    <w:rsid w:val="009F1A85"/>
    <w:rsid w:val="00AD6817"/>
    <w:rsid w:val="00B615FB"/>
    <w:rsid w:val="00CA6B06"/>
    <w:rsid w:val="00CC37FF"/>
    <w:rsid w:val="00D82F57"/>
    <w:rsid w:val="00E536E0"/>
    <w:rsid w:val="00F2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8F288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HAnsi" w:hAnsiTheme="majorBidi" w:cstheme="maj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208</Words>
  <Characters>1191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Kenosian</dc:creator>
  <cp:keywords/>
  <dc:description/>
  <cp:lastModifiedBy>David Kenosian</cp:lastModifiedBy>
  <cp:revision>7</cp:revision>
  <dcterms:created xsi:type="dcterms:W3CDTF">2017-09-27T13:42:00Z</dcterms:created>
  <dcterms:modified xsi:type="dcterms:W3CDTF">2017-09-27T14:12:00Z</dcterms:modified>
</cp:coreProperties>
</file>