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</w:pPr>
      <w:r>
        <w:rPr>
          <w:rFonts w:ascii="Calibri" w:hAnsi="Calibri"/>
          <w:sz w:val="22"/>
          <w:szCs w:val="22"/>
          <w:u w:color="000000"/>
          <w:rtl w:val="0"/>
          <w:lang w:val="en-US"/>
        </w:rPr>
        <w:t>For: Thursday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</w:pPr>
      <w:r>
        <w:rPr>
          <w:rFonts w:ascii="Calibri" w:hAnsi="Calibri"/>
          <w:sz w:val="22"/>
          <w:szCs w:val="22"/>
          <w:u w:color="000000"/>
          <w:rtl w:val="0"/>
          <w:lang w:val="en-US"/>
        </w:rPr>
        <w:t>Painting at Century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>’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>s End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</w:pPr>
      <w:r>
        <w:rPr>
          <w:rFonts w:ascii="Calibri" w:hAnsi="Calibri"/>
          <w:sz w:val="22"/>
          <w:szCs w:val="22"/>
          <w:u w:color="000000"/>
          <w:rtl w:val="0"/>
          <w:lang w:val="en-US"/>
        </w:rPr>
        <w:t>The Pre-Raphaelites</w:t>
      </w:r>
      <w:r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2079263</wp:posOffset>
            </wp:positionH>
            <wp:positionV relativeFrom="line">
              <wp:posOffset>228600</wp:posOffset>
            </wp:positionV>
            <wp:extent cx="1772373" cy="205096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373" cy="20509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b w:val="1"/>
          <w:bCs w:val="1"/>
          <w:u w:color="000000"/>
          <w:rtl w:val="0"/>
          <w:lang w:val="en-US"/>
        </w:rPr>
        <w:t xml:space="preserve">Dante Gabriel Rosetti, </w:t>
      </w:r>
      <w:r>
        <w:rPr>
          <w:rFonts w:ascii="Calibri" w:hAnsi="Calibri"/>
          <w:b w:val="1"/>
          <w:bCs w:val="1"/>
          <w:i w:val="1"/>
          <w:iCs w:val="1"/>
          <w:u w:color="000000"/>
          <w:rtl w:val="0"/>
          <w:lang w:val="en-US"/>
        </w:rPr>
        <w:t>The Beloved, 1882</w:t>
      </w: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hAnsi="Calibri"/>
          <w:sz w:val="28"/>
          <w:szCs w:val="28"/>
          <w:u w:color="000000"/>
          <w:rtl w:val="0"/>
          <w:lang w:val="en-US"/>
        </w:rPr>
        <w:t>Step 1: Please consult the following web resources.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sz w:val="22"/>
          <w:szCs w:val="22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Heilbrunn TimeLine of Art History: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 xml:space="preserve"> The Pre-Raphaelites 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sz w:val="22"/>
          <w:szCs w:val="22"/>
          <w:u w:color="000000"/>
          <w:rtl w:val="0"/>
          <w:lang w:val="en-US"/>
        </w:rPr>
      </w:pPr>
      <w:r>
        <w:rPr>
          <w:rStyle w:val="Hyperlink.0"/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fldChar w:fldCharType="begin" w:fldLock="0"/>
      </w:r>
      <w:r>
        <w:rPr>
          <w:rStyle w:val="Hyperlink.0"/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instrText xml:space="preserve"> HYPERLINK "https://www.metmuseum.org/toah/hd/praf/hd_praf.htm"</w:instrText>
      </w:r>
      <w:r>
        <w:rPr>
          <w:rStyle w:val="Hyperlink.0"/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fldChar w:fldCharType="separate" w:fldLock="0"/>
      </w:r>
      <w:r>
        <w:rPr>
          <w:rStyle w:val="Hyperlink.0"/>
          <w:rFonts w:ascii="Calibri" w:hAnsi="Calibri"/>
          <w:sz w:val="22"/>
          <w:szCs w:val="22"/>
          <w:u w:color="000000"/>
          <w:rtl w:val="0"/>
          <w:lang w:val="en-US"/>
        </w:rPr>
        <w:t>https://www.metmuseum.org/toah/hd/praf/hd_praf.htm</w:t>
      </w:r>
      <w:r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fldChar w:fldCharType="end" w:fldLock="0"/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sz w:val="22"/>
          <w:szCs w:val="22"/>
          <w:u w:color="000000"/>
          <w:rtl w:val="0"/>
          <w:lang w:val="en-US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hAnsi="Calibri"/>
          <w:b w:val="1"/>
          <w:bCs w:val="1"/>
          <w:u w:color="000000"/>
          <w:rtl w:val="0"/>
          <w:lang w:val="en-US"/>
        </w:rPr>
        <w:t xml:space="preserve">Tate: Pre-Raphaelite Essay: </w:t>
      </w: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Style w:val="Hyperlink.0"/>
          <w:rFonts w:ascii="Calibri" w:cs="Calibri" w:hAnsi="Calibri" w:eastAsia="Calibri"/>
          <w:u w:color="000000"/>
          <w:rtl w:val="0"/>
        </w:rPr>
        <w:fldChar w:fldCharType="begin" w:fldLock="0"/>
      </w:r>
      <w:r>
        <w:rPr>
          <w:rStyle w:val="Hyperlink.0"/>
          <w:rFonts w:ascii="Calibri" w:cs="Calibri" w:hAnsi="Calibri" w:eastAsia="Calibri"/>
          <w:u w:color="000000"/>
          <w:rtl w:val="0"/>
        </w:rPr>
        <w:instrText xml:space="preserve"> HYPERLINK "https://www.tate.org.uk/art/art-terms/p/pre-raphaelite/why-were-pre-raphaelites-so-shocking"</w:instrText>
      </w:r>
      <w:r>
        <w:rPr>
          <w:rStyle w:val="Hyperlink.0"/>
          <w:rFonts w:ascii="Calibri" w:cs="Calibri" w:hAnsi="Calibri" w:eastAsia="Calibri"/>
          <w:u w:color="000000"/>
          <w:rtl w:val="0"/>
        </w:rPr>
        <w:fldChar w:fldCharType="separate" w:fldLock="0"/>
      </w:r>
      <w:r>
        <w:rPr>
          <w:rStyle w:val="Hyperlink.0"/>
          <w:rFonts w:ascii="Calibri" w:hAnsi="Calibri"/>
          <w:u w:color="000000"/>
          <w:rtl w:val="0"/>
          <w:lang w:val="en-US"/>
        </w:rPr>
        <w:t>https://www.tate.org.uk/art/art-terms/p/pre-raphaelite/why-were-pre-raphaelites-so-shocking</w:t>
      </w:r>
      <w:r>
        <w:rPr>
          <w:rFonts w:ascii="Calibri" w:cs="Calibri" w:hAnsi="Calibri" w:eastAsia="Calibri"/>
          <w:u w:color="000000"/>
          <w:rtl w:val="0"/>
        </w:rPr>
        <w:fldChar w:fldCharType="end" w:fldLock="0"/>
      </w: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hAnsi="Calibri"/>
          <w:b w:val="1"/>
          <w:bCs w:val="1"/>
          <w:u w:color="000000"/>
          <w:rtl w:val="0"/>
          <w:lang w:val="en-US"/>
        </w:rPr>
        <w:t>Tate: John William Waterhouse, Consulting the Oracle, 1884</w:t>
      </w: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Style w:val="Hyperlink.0"/>
          <w:rFonts w:ascii="Calibri" w:cs="Calibri" w:hAnsi="Calibri" w:eastAsia="Calibri"/>
          <w:u w:color="000000"/>
          <w:rtl w:val="0"/>
        </w:rPr>
        <w:fldChar w:fldCharType="begin" w:fldLock="0"/>
      </w:r>
      <w:r>
        <w:rPr>
          <w:rStyle w:val="Hyperlink.0"/>
          <w:rFonts w:ascii="Calibri" w:cs="Calibri" w:hAnsi="Calibri" w:eastAsia="Calibri"/>
          <w:u w:color="000000"/>
          <w:rtl w:val="0"/>
        </w:rPr>
        <w:instrText xml:space="preserve"> HYPERLINK "https://www.tate.org.uk/art/artworks/waterhouse-consulting-the-oracle-n01541"</w:instrText>
      </w:r>
      <w:r>
        <w:rPr>
          <w:rStyle w:val="Hyperlink.0"/>
          <w:rFonts w:ascii="Calibri" w:cs="Calibri" w:hAnsi="Calibri" w:eastAsia="Calibri"/>
          <w:u w:color="000000"/>
          <w:rtl w:val="0"/>
        </w:rPr>
        <w:fldChar w:fldCharType="separate" w:fldLock="0"/>
      </w:r>
      <w:r>
        <w:rPr>
          <w:rStyle w:val="Hyperlink.0"/>
          <w:rFonts w:ascii="Calibri" w:hAnsi="Calibri"/>
          <w:u w:color="000000"/>
          <w:rtl w:val="0"/>
          <w:lang w:val="en-US"/>
        </w:rPr>
        <w:t>https://www.tate.org.uk/art/artworks/waterhouse-consulting-the-oracle-n01541</w:t>
      </w:r>
      <w:r>
        <w:rPr>
          <w:rFonts w:ascii="Calibri" w:cs="Calibri" w:hAnsi="Calibri" w:eastAsia="Calibri"/>
          <w:u w:color="000000"/>
          <w:rtl w:val="0"/>
        </w:rPr>
        <w:fldChar w:fldCharType="end" w:fldLock="0"/>
      </w: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hAnsi="Calibri"/>
          <w:sz w:val="28"/>
          <w:szCs w:val="28"/>
          <w:u w:color="000000"/>
          <w:rtl w:val="0"/>
          <w:lang w:val="en-US"/>
        </w:rPr>
        <w:t xml:space="preserve">Step 2: Select one of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>the Pre-Raphaelite</w:t>
      </w:r>
      <w:r>
        <w:rPr>
          <w:rFonts w:ascii="Calibri" w:hAnsi="Calibri" w:hint="default"/>
          <w:sz w:val="28"/>
          <w:szCs w:val="28"/>
          <w:u w:color="000000"/>
          <w:rtl w:val="0"/>
          <w:lang w:val="en-US"/>
        </w:rPr>
        <w:t>’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 xml:space="preserve">s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>paintings and post it to the discussion board on moodle.</w:t>
      </w: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tl w:val="0"/>
        </w:rPr>
      </w:pPr>
      <w:r>
        <w:rPr>
          <w:rFonts w:ascii="Calibri" w:hAnsi="Calibri"/>
          <w:sz w:val="28"/>
          <w:szCs w:val="28"/>
          <w:u w:color="000000"/>
          <w:rtl w:val="0"/>
          <w:lang w:val="en-US"/>
        </w:rPr>
        <w:t xml:space="preserve">Step 3: List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>some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 xml:space="preserve"> ways in which the painting that you have selected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>reflects the essential features of the Pre-Raphaelite aesthetics and ideology</w:t>
      </w:r>
      <w:r>
        <w:rPr>
          <w:rFonts w:ascii="Calibri" w:hAnsi="Calibri"/>
          <w:sz w:val="28"/>
          <w:szCs w:val="28"/>
          <w:u w:color="000000"/>
          <w:rtl w:val="0"/>
        </w:rPr>
        <w:t xml:space="preserve">.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 xml:space="preserve">Attend to the formal elements as well as the subject matter of the painting. 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>Please bring your notes with you to class.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