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For: Thursday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Painting at Century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’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s End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The Nabis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519664</wp:posOffset>
            </wp:positionH>
            <wp:positionV relativeFrom="line">
              <wp:posOffset>219333</wp:posOffset>
            </wp:positionV>
            <wp:extent cx="912646" cy="14040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46" cy="1404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3482717</wp:posOffset>
            </wp:positionH>
            <wp:positionV relativeFrom="line">
              <wp:posOffset>166916</wp:posOffset>
            </wp:positionV>
            <wp:extent cx="1300072" cy="145648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072" cy="14564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</w:pP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 xml:space="preserve">Pierre Bonnard, the White Cat, 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14:textFill>
            <w14:solidFill>
              <w14:srgbClr w14:val="1C1C1C"/>
            </w14:solidFill>
          </w14:textFill>
        </w:rPr>
        <w:t>189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>4</w:t>
        <w:tab/>
        <w:t xml:space="preserve"> </w:t>
        <w:tab/>
        <w:tab/>
        <w:tab/>
      </w:r>
      <w:r>
        <w:rPr>
          <w:rFonts w:ascii="Helvetica" w:hAnsi="Helvetica" w:hint="default"/>
          <w:outline w:val="0"/>
          <w:color w:val="1b1b1b"/>
          <w:sz w:val="16"/>
          <w:szCs w:val="16"/>
          <w:rtl w:val="0"/>
          <w:lang w:val="fr-FR"/>
          <w14:textFill>
            <w14:solidFill>
              <w14:srgbClr w14:val="1C1C1C"/>
            </w14:solidFill>
          </w14:textFill>
        </w:rPr>
        <w:t>É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fr-FR"/>
          <w14:textFill>
            <w14:solidFill>
              <w14:srgbClr w14:val="1C1C1C"/>
            </w14:solidFill>
          </w14:textFill>
        </w:rPr>
        <w:t>douard Vuillard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>The Seamstress with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fr-FR"/>
          <w14:textFill>
            <w14:solidFill>
              <w14:srgbClr w14:val="1C1C1C"/>
            </w14:solidFill>
          </w14:textFill>
        </w:rPr>
        <w:t>Chiffons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14:textFill>
            <w14:solidFill>
              <w14:srgbClr w14:val="1C1C1C"/>
            </w14:solidFill>
          </w14:textFill>
        </w:rPr>
        <w:t>1893</w:t>
      </w:r>
      <w:r>
        <w:rPr>
          <w:rFonts w:ascii="Helvetica" w:hAnsi="Helvetica"/>
          <w:outline w:val="0"/>
          <w:color w:val="1b1b1b"/>
          <w:sz w:val="16"/>
          <w:szCs w:val="16"/>
          <w:rtl w:val="0"/>
          <w:lang w:val="en-US"/>
          <w14:textFill>
            <w14:solidFill>
              <w14:srgbClr w14:val="1C1C1C"/>
            </w14:solidFill>
          </w14:textFill>
        </w:rPr>
        <w:t xml:space="preserve"> </w:t>
      </w:r>
      <w:r>
        <w:rPr>
          <w:rFonts w:ascii="Helvetica" w:cs="Helvetica" w:hAnsi="Helvetica" w:eastAsia="Helvetica"/>
          <w:outline w:val="0"/>
          <w:color w:val="1b1b1b"/>
          <w:rtl w:val="0"/>
          <w14:textFill>
            <w14:solidFill>
              <w14:srgbClr w14:val="1C1C1C"/>
            </w14:solidFill>
          </w14:textFill>
        </w:rPr>
        <w:tab/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Step 1: Please consult the following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Resources</w:t>
      </w:r>
      <w:r>
        <w:rPr>
          <w:rFonts w:ascii="Calibri" w:hAnsi="Calibri"/>
          <w:sz w:val="28"/>
          <w:szCs w:val="28"/>
          <w:u w:color="000000"/>
          <w:rtl w:val="0"/>
        </w:rPr>
        <w:t>.</w:t>
      </w: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de-DE"/>
        </w:rPr>
        <w:t>Heilbrunn TimeLine of Art History:</w:t>
      </w:r>
      <w:r>
        <w:rPr>
          <w:rFonts w:ascii="Calibri" w:hAnsi="Calibri"/>
          <w:b w:val="1"/>
          <w:bCs w:val="1"/>
          <w:rtl w:val="0"/>
          <w:lang w:val="en-US"/>
        </w:rPr>
        <w:t xml:space="preserve"> Symbolism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"https://www.metmuseum.org/toah/hd/symb/hd_symb.htm"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https://www.metmuseum.org/toah/hd/symb/hd_symb.htm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Calibri" w:hAnsi="Calibri"/>
          <w:b w:val="1"/>
          <w:bCs w:val="1"/>
          <w:rtl w:val="0"/>
          <w:lang w:val="de-DE"/>
        </w:rPr>
        <w:t>Heilbrunn TimeLine of Art History:</w:t>
      </w:r>
      <w:r>
        <w:rPr>
          <w:rFonts w:ascii="Calibri" w:hAnsi="Calibri"/>
          <w:b w:val="1"/>
          <w:bCs w:val="1"/>
          <w:rtl w:val="0"/>
          <w:lang w:val="en-US"/>
        </w:rPr>
        <w:t xml:space="preserve"> The Nabis and Decorative Painting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"https://www.metmuseum.org/toah/hd/dcpt/hd_dcpt.htm"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https://www.metmuseum.org/toah/hd/dcpt/hd_dcpt.htm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de-DE"/>
        </w:rPr>
        <w:t>Heilbrunn TimeLine of Art History:</w:t>
      </w:r>
      <w:r>
        <w:rPr>
          <w:rFonts w:ascii="Calibri" w:hAnsi="Calibri"/>
          <w:b w:val="1"/>
          <w:bCs w:val="1"/>
          <w:rtl w:val="0"/>
          <w:lang w:val="en-US"/>
        </w:rPr>
        <w:t xml:space="preserve"> Pierre Bonnard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"https://www.metmuseum.org/toah/hd/bonn/hd_bonn.htm"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https://www.metmuseum.org/toah/hd/bonn/hd_bonn.htm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The Guggenheim Museum: Pierre Bonnard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"https://www.guggenheim.org/artwork/artist/pierre-bonnard"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https://www.guggenheim.org/artwork/artist/pierre-bonnard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>Mus</w:t>
      </w:r>
      <w:r>
        <w:rPr>
          <w:rFonts w:ascii="Calibri" w:hAnsi="Calibri" w:hint="default"/>
          <w:b w:val="1"/>
          <w:bCs w:val="1"/>
          <w:rtl w:val="0"/>
          <w:lang w:val="fr-FR"/>
        </w:rPr>
        <w:t>é</w:t>
      </w:r>
      <w:r>
        <w:rPr>
          <w:rFonts w:ascii="Calibri" w:hAnsi="Calibri"/>
          <w:b w:val="1"/>
          <w:bCs w:val="1"/>
          <w:rtl w:val="0"/>
        </w:rPr>
        <w:t>e d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</w:rPr>
        <w:t>Orsay</w:t>
      </w:r>
      <w:r>
        <w:rPr>
          <w:rFonts w:ascii="Calibri" w:hAnsi="Calibri"/>
          <w:b w:val="1"/>
          <w:bCs w:val="1"/>
          <w:rtl w:val="0"/>
          <w:lang w:val="en-US"/>
        </w:rPr>
        <w:t>: Pierre Bonnard</w:t>
      </w: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"https://www.musee-orsay.fr/en/ressources/artists-personalities-catalog/pierre-bonnard-4501"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https://www.musee-orsay.fr/en/ressources/artists-personalities-catalog/pierre-bonnard-4501</w:t>
      </w:r>
      <w:r>
        <w:rPr/>
        <w:fldChar w:fldCharType="end" w:fldLock="0"/>
      </w: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 xml:space="preserve"> </w:t>
      </w:r>
    </w:p>
    <w:p>
      <w:pPr>
        <w:pStyle w:val="Body"/>
        <w:bidi w:val="0"/>
      </w:pPr>
      <w:r>
        <w:rPr>
          <w:rFonts w:ascii="Calibri" w:hAnsi="Calibri"/>
          <w:b w:val="1"/>
          <w:bCs w:val="1"/>
          <w:rtl w:val="0"/>
        </w:rPr>
        <w:t>Mus</w:t>
      </w:r>
      <w:r>
        <w:rPr>
          <w:rFonts w:ascii="Calibri" w:hAnsi="Calibri" w:hint="default"/>
          <w:b w:val="1"/>
          <w:bCs w:val="1"/>
          <w:rtl w:val="0"/>
          <w:lang w:val="fr-FR"/>
        </w:rPr>
        <w:t>é</w:t>
      </w:r>
      <w:r>
        <w:rPr>
          <w:rFonts w:ascii="Calibri" w:hAnsi="Calibri"/>
          <w:b w:val="1"/>
          <w:bCs w:val="1"/>
          <w:rtl w:val="0"/>
        </w:rPr>
        <w:t>e d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</w:rPr>
        <w:t>Orsay</w:t>
      </w:r>
      <w:r>
        <w:rPr>
          <w:rFonts w:ascii="Calibri" w:hAnsi="Calibri"/>
          <w:b w:val="1"/>
          <w:bCs w:val="1"/>
          <w:rtl w:val="0"/>
          <w:lang w:val="en-US"/>
        </w:rPr>
        <w:t xml:space="preserve">: </w:t>
      </w:r>
      <w:r>
        <w:rPr>
          <w:rFonts w:ascii="Calibri" w:hAnsi="Calibri" w:hint="default"/>
          <w:b w:val="1"/>
          <w:bCs w:val="1"/>
          <w:rtl w:val="0"/>
          <w:lang w:val="fr-FR"/>
        </w:rPr>
        <w:t>É</w:t>
      </w:r>
      <w:r>
        <w:rPr>
          <w:rFonts w:ascii="Calibri" w:hAnsi="Calibri"/>
          <w:b w:val="1"/>
          <w:bCs w:val="1"/>
          <w:rtl w:val="0"/>
          <w:lang w:val="fr-FR"/>
        </w:rPr>
        <w:t>douard Vuillard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"https://www.musee-orsay.fr/en/ressources/artists-personalities-catalog/edouard-vuillard-23768"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https://www.musee-orsay.fr/en/ressources/artists-personalities-catalog/edouard-vuillard-23768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MoMA: </w:t>
      </w:r>
      <w:r>
        <w:rPr>
          <w:rFonts w:ascii="Calibri" w:hAnsi="Calibri" w:hint="default"/>
          <w:b w:val="1"/>
          <w:bCs w:val="1"/>
          <w:rtl w:val="0"/>
          <w:lang w:val="fr-FR"/>
        </w:rPr>
        <w:t>É</w:t>
      </w:r>
      <w:r>
        <w:rPr>
          <w:rFonts w:ascii="Calibri" w:hAnsi="Calibri"/>
          <w:b w:val="1"/>
          <w:bCs w:val="1"/>
          <w:rtl w:val="0"/>
          <w:lang w:val="fr-FR"/>
        </w:rPr>
        <w:t>douard Vuillard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"https://www.moma.org/artists/6194"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https://www.moma.org/artists/6194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  <w:rPr>
          <w:sz w:val="28"/>
          <w:szCs w:val="28"/>
        </w:rPr>
      </w:pPr>
      <w:r>
        <w:rPr>
          <w:rtl w:val="0"/>
        </w:rPr>
        <w:t xml:space="preserve">Step 2: </w:t>
      </w:r>
      <w:r>
        <w:rPr>
          <w:sz w:val="28"/>
          <w:szCs w:val="28"/>
          <w:rtl w:val="0"/>
          <w:lang w:val="en-US"/>
        </w:rPr>
        <w:t xml:space="preserve">Select one of </w:t>
      </w:r>
      <w:r>
        <w:rPr>
          <w:sz w:val="28"/>
          <w:szCs w:val="28"/>
          <w:rtl w:val="0"/>
          <w:lang w:val="en-US"/>
        </w:rPr>
        <w:t xml:space="preserve">the </w:t>
      </w:r>
      <w:r>
        <w:rPr>
          <w:sz w:val="28"/>
          <w:szCs w:val="28"/>
          <w:rtl w:val="0"/>
          <w:lang w:val="en-US"/>
        </w:rPr>
        <w:t xml:space="preserve">paintings and post it to the </w:t>
      </w:r>
      <w:r>
        <w:rPr>
          <w:sz w:val="28"/>
          <w:szCs w:val="28"/>
          <w:rtl w:val="0"/>
          <w:lang w:val="en-US"/>
        </w:rPr>
        <w:t>Moodle forum.</w:t>
      </w:r>
    </w:p>
    <w:p>
      <w:pPr>
        <w:pStyle w:val="Body"/>
        <w:bidi w:val="0"/>
        <w:rPr>
          <w:sz w:val="28"/>
          <w:szCs w:val="28"/>
        </w:rPr>
      </w:pPr>
    </w:p>
    <w:p>
      <w:pPr>
        <w:pStyle w:val="Body"/>
        <w:bidi w:val="0"/>
      </w:pPr>
      <w:r>
        <w:rPr>
          <w:sz w:val="28"/>
          <w:szCs w:val="28"/>
          <w:rtl w:val="0"/>
          <w:lang w:val="en-US"/>
        </w:rPr>
        <w:t xml:space="preserve">Step 3.  </w:t>
      </w:r>
      <w:r>
        <w:rPr>
          <w:sz w:val="28"/>
          <w:szCs w:val="28"/>
          <w:rtl w:val="0"/>
          <w:lang w:val="de-DE"/>
        </w:rPr>
        <w:t xml:space="preserve">List </w:t>
      </w:r>
      <w:r>
        <w:rPr>
          <w:sz w:val="28"/>
          <w:szCs w:val="28"/>
          <w:rtl w:val="0"/>
          <w:lang w:val="en-US"/>
        </w:rPr>
        <w:t>some</w:t>
      </w:r>
      <w:r>
        <w:rPr>
          <w:sz w:val="28"/>
          <w:szCs w:val="28"/>
          <w:rtl w:val="0"/>
          <w:lang w:val="en-US"/>
        </w:rPr>
        <w:t xml:space="preserve"> ways in which the painting that you have selected </w:t>
      </w:r>
      <w:r>
        <w:rPr>
          <w:sz w:val="28"/>
          <w:szCs w:val="28"/>
          <w:rtl w:val="0"/>
          <w:lang w:val="en-US"/>
        </w:rPr>
        <w:t>reflects the essential features of the Nabis aesthetics and ideology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en-US"/>
        </w:rPr>
        <w:t>Attend to the formal elements as well as the subject matter of the painting.  How was their work influenced by other artists and movements?</w:t>
      </w:r>
      <w:r>
        <w:rPr>
          <w:sz w:val="28"/>
          <w:szCs w:val="28"/>
          <w:rtl w:val="0"/>
          <w:lang w:val="en-US"/>
        </w:rPr>
        <w:t>Please bring your notes with you to class.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