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CADA9" w14:textId="77CDD9AC" w:rsidR="00AD2981" w:rsidRPr="00AD2981" w:rsidRDefault="00AD2981" w:rsidP="00AD2981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Outline: Contemporary Chinese Art</w:t>
      </w:r>
    </w:p>
    <w:p w14:paraId="3D6140BE" w14:textId="4572BFEA" w:rsidR="00AD2981" w:rsidRDefault="00AD2981" w:rsidP="00AD2981">
      <w:pPr>
        <w:pStyle w:val="ListParagraph"/>
        <w:rPr>
          <w:rFonts w:ascii="Palatino Linotype" w:hAnsi="Palatino Linotype"/>
          <w:sz w:val="24"/>
          <w:szCs w:val="24"/>
        </w:rPr>
      </w:pPr>
    </w:p>
    <w:p w14:paraId="5E394587" w14:textId="6FC7C863" w:rsidR="00AD2981" w:rsidRDefault="00AD2981" w:rsidP="00AD2981">
      <w:pPr>
        <w:pStyle w:val="ListParagraph"/>
        <w:rPr>
          <w:rFonts w:ascii="Palatino Linotype" w:hAnsi="Palatino Linotype"/>
          <w:sz w:val="24"/>
          <w:szCs w:val="24"/>
        </w:rPr>
      </w:pPr>
    </w:p>
    <w:p w14:paraId="3DA8E617" w14:textId="620AE91B" w:rsidR="00AD2981" w:rsidRPr="00AD2981" w:rsidRDefault="00AD2981" w:rsidP="00AD2981">
      <w:pPr>
        <w:pStyle w:val="ListParagraph"/>
        <w:numPr>
          <w:ilvl w:val="0"/>
          <w:numId w:val="1"/>
        </w:numPr>
        <w:rPr>
          <w:rFonts w:ascii="Palatino Linotype" w:hAnsi="Palatino Linotype"/>
          <w:i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Dong </w:t>
      </w:r>
      <w:proofErr w:type="spellStart"/>
      <w:r>
        <w:rPr>
          <w:rFonts w:ascii="Palatino Linotype" w:hAnsi="Palatino Linotype"/>
          <w:sz w:val="24"/>
          <w:szCs w:val="24"/>
        </w:rPr>
        <w:t>Xiwen’s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Pr="00494262">
        <w:rPr>
          <w:rFonts w:ascii="Palatino Linotype" w:hAnsi="Palatino Linotype"/>
          <w:i/>
          <w:sz w:val="24"/>
          <w:szCs w:val="24"/>
        </w:rPr>
        <w:t>Founding of the Nation</w:t>
      </w:r>
      <w:r>
        <w:rPr>
          <w:rFonts w:ascii="Palatino Linotype" w:hAnsi="Palatino Linotype"/>
          <w:sz w:val="24"/>
          <w:szCs w:val="24"/>
        </w:rPr>
        <w:t xml:space="preserve">; Sun </w:t>
      </w:r>
      <w:proofErr w:type="spellStart"/>
      <w:r>
        <w:rPr>
          <w:rFonts w:ascii="Palatino Linotype" w:hAnsi="Palatino Linotype"/>
          <w:sz w:val="24"/>
          <w:szCs w:val="24"/>
        </w:rPr>
        <w:t>Zixi’s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gramStart"/>
      <w:r w:rsidRPr="00494262">
        <w:rPr>
          <w:rFonts w:ascii="Palatino Linotype" w:hAnsi="Palatino Linotype"/>
          <w:i/>
          <w:sz w:val="24"/>
          <w:szCs w:val="24"/>
        </w:rPr>
        <w:t>In</w:t>
      </w:r>
      <w:proofErr w:type="gramEnd"/>
      <w:r w:rsidRPr="00494262">
        <w:rPr>
          <w:rFonts w:ascii="Palatino Linotype" w:hAnsi="Palatino Linotype"/>
          <w:i/>
          <w:sz w:val="24"/>
          <w:szCs w:val="24"/>
        </w:rPr>
        <w:t xml:space="preserve"> front of </w:t>
      </w:r>
      <w:proofErr w:type="spellStart"/>
      <w:r w:rsidRPr="00494262">
        <w:rPr>
          <w:rFonts w:ascii="Palatino Linotype" w:hAnsi="Palatino Linotype"/>
          <w:i/>
          <w:sz w:val="24"/>
          <w:szCs w:val="24"/>
        </w:rPr>
        <w:t>Tian’anmen</w:t>
      </w:r>
      <w:proofErr w:type="spellEnd"/>
      <w:r>
        <w:rPr>
          <w:rFonts w:ascii="Palatino Linotype" w:hAnsi="Palatino Linotype"/>
          <w:i/>
          <w:sz w:val="24"/>
          <w:szCs w:val="24"/>
        </w:rPr>
        <w:t>;</w:t>
      </w:r>
    </w:p>
    <w:p w14:paraId="21EEAAE2" w14:textId="358EADA8" w:rsidR="00AD2981" w:rsidRDefault="00AD2981" w:rsidP="00AD2981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Li </w:t>
      </w:r>
      <w:proofErr w:type="spellStart"/>
      <w:r>
        <w:rPr>
          <w:rFonts w:ascii="Palatino Linotype" w:hAnsi="Palatino Linotype"/>
          <w:sz w:val="24"/>
          <w:szCs w:val="24"/>
        </w:rPr>
        <w:t>Keran’s</w:t>
      </w:r>
      <w:proofErr w:type="spellEnd"/>
      <w:r>
        <w:rPr>
          <w:rFonts w:ascii="Palatino Linotype" w:hAnsi="Palatino Linotype"/>
          <w:sz w:val="24"/>
          <w:szCs w:val="24"/>
        </w:rPr>
        <w:t xml:space="preserve"> use of red color in the traditional ink-based landscape</w:t>
      </w:r>
    </w:p>
    <w:p w14:paraId="56FD9D5A" w14:textId="046B42CF" w:rsidR="00AD2981" w:rsidRDefault="00AD2981" w:rsidP="00AD2981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Art as Propaganda during the Cultural Revolution</w:t>
      </w:r>
    </w:p>
    <w:p w14:paraId="5A8A67DA" w14:textId="77777777" w:rsidR="00AD2981" w:rsidRDefault="00AD2981" w:rsidP="00AD2981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Reflections on the Cultural Revolution in post-Mao era</w:t>
      </w:r>
    </w:p>
    <w:p w14:paraId="0ABEEE17" w14:textId="77777777" w:rsidR="00AD2981" w:rsidRDefault="00AD2981" w:rsidP="00AD2981">
      <w:pPr>
        <w:pStyle w:val="ListParagrap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The Stars exhibition in 1979 outside the national gallery; Wang </w:t>
      </w:r>
      <w:proofErr w:type="spellStart"/>
      <w:r>
        <w:rPr>
          <w:rFonts w:ascii="Palatino Linotype" w:hAnsi="Palatino Linotype"/>
          <w:sz w:val="24"/>
          <w:szCs w:val="24"/>
        </w:rPr>
        <w:t>Keping’s</w:t>
      </w:r>
      <w:proofErr w:type="spellEnd"/>
      <w:r>
        <w:rPr>
          <w:rFonts w:ascii="Palatino Linotype" w:hAnsi="Palatino Linotype"/>
          <w:sz w:val="24"/>
          <w:szCs w:val="24"/>
        </w:rPr>
        <w:t xml:space="preserve"> Silence and </w:t>
      </w:r>
      <w:proofErr w:type="gramStart"/>
      <w:r>
        <w:rPr>
          <w:rFonts w:ascii="Palatino Linotype" w:hAnsi="Palatino Linotype"/>
          <w:sz w:val="24"/>
          <w:szCs w:val="24"/>
        </w:rPr>
        <w:t>Idol;</w:t>
      </w:r>
      <w:proofErr w:type="gramEnd"/>
      <w:r>
        <w:rPr>
          <w:rFonts w:ascii="Palatino Linotype" w:hAnsi="Palatino Linotype"/>
          <w:sz w:val="24"/>
          <w:szCs w:val="24"/>
        </w:rPr>
        <w:t xml:space="preserve"> </w:t>
      </w:r>
    </w:p>
    <w:p w14:paraId="59C09E4D" w14:textId="77777777" w:rsidR="00AD2981" w:rsidRDefault="00AD2981" w:rsidP="00AD2981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1985 New Wave Movement; culminating in 1989’s “The China </w:t>
      </w:r>
      <w:proofErr w:type="spellStart"/>
      <w:r>
        <w:rPr>
          <w:rFonts w:ascii="Palatino Linotype" w:hAnsi="Palatino Linotype"/>
          <w:sz w:val="24"/>
          <w:szCs w:val="24"/>
        </w:rPr>
        <w:t>Arvant-Guarde</w:t>
      </w:r>
      <w:proofErr w:type="spellEnd"/>
      <w:r>
        <w:rPr>
          <w:rFonts w:ascii="Palatino Linotype" w:hAnsi="Palatino Linotype"/>
          <w:sz w:val="24"/>
          <w:szCs w:val="24"/>
        </w:rPr>
        <w:t>” exhibition in the national gallery</w:t>
      </w:r>
    </w:p>
    <w:p w14:paraId="4D85E7C8" w14:textId="77777777" w:rsidR="00AD2981" w:rsidRDefault="00AD2981" w:rsidP="00AD2981">
      <w:pPr>
        <w:pStyle w:val="ListParagrap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Xiao Lu’s Dialogue</w:t>
      </w:r>
    </w:p>
    <w:p w14:paraId="2519CE82" w14:textId="77777777" w:rsidR="00AD2981" w:rsidRDefault="00AD2981" w:rsidP="00AD2981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The marriage between contemporary art and traditional Chinese art (calligraphy)</w:t>
      </w:r>
    </w:p>
    <w:p w14:paraId="6A140573" w14:textId="77777777" w:rsidR="00AD2981" w:rsidRDefault="00AD2981" w:rsidP="00AD2981">
      <w:pPr>
        <w:pStyle w:val="ListParagrap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Qiu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Zhijie’s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gramStart"/>
      <w:r w:rsidRPr="0000737C">
        <w:rPr>
          <w:rFonts w:ascii="Palatino Linotype" w:hAnsi="Palatino Linotype"/>
          <w:i/>
          <w:sz w:val="24"/>
          <w:szCs w:val="24"/>
        </w:rPr>
        <w:t>A</w:t>
      </w:r>
      <w:proofErr w:type="gramEnd"/>
      <w:r w:rsidRPr="0000737C">
        <w:rPr>
          <w:rFonts w:ascii="Palatino Linotype" w:hAnsi="Palatino Linotype"/>
          <w:i/>
          <w:sz w:val="24"/>
          <w:szCs w:val="24"/>
        </w:rPr>
        <w:t xml:space="preserve"> One-Thousand-Time copy of the Preface to the Orchid Pavilion</w:t>
      </w:r>
      <w:r>
        <w:rPr>
          <w:rFonts w:ascii="Palatino Linotype" w:hAnsi="Palatino Linotype"/>
          <w:sz w:val="24"/>
          <w:szCs w:val="24"/>
        </w:rPr>
        <w:t xml:space="preserve">; </w:t>
      </w:r>
    </w:p>
    <w:p w14:paraId="1D21FDC6" w14:textId="77777777" w:rsidR="00AD2981" w:rsidRPr="0000737C" w:rsidRDefault="00AD2981" w:rsidP="00AD2981">
      <w:pPr>
        <w:pStyle w:val="ListParagrap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Xu Bing’s </w:t>
      </w:r>
      <w:r w:rsidRPr="0000737C">
        <w:rPr>
          <w:rFonts w:ascii="Palatino Linotype" w:hAnsi="Palatino Linotype"/>
          <w:i/>
          <w:sz w:val="24"/>
          <w:szCs w:val="24"/>
        </w:rPr>
        <w:t>Book from the Sky</w:t>
      </w:r>
      <w:r w:rsidRPr="0000737C">
        <w:rPr>
          <w:rFonts w:ascii="Palatino Linotype" w:hAnsi="Palatino Linotype"/>
          <w:sz w:val="24"/>
          <w:szCs w:val="24"/>
        </w:rPr>
        <w:t xml:space="preserve">  </w:t>
      </w:r>
    </w:p>
    <w:p w14:paraId="512BA03F" w14:textId="77777777" w:rsidR="004B4810" w:rsidRDefault="004B4810"/>
    <w:sectPr w:rsidR="004B48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ED6"/>
    <w:multiLevelType w:val="hybridMultilevel"/>
    <w:tmpl w:val="5BEAB64A"/>
    <w:lvl w:ilvl="0" w:tplc="D352A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25FED"/>
    <w:multiLevelType w:val="hybridMultilevel"/>
    <w:tmpl w:val="CFEE58BA"/>
    <w:lvl w:ilvl="0" w:tplc="067E8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B3370D"/>
    <w:multiLevelType w:val="hybridMultilevel"/>
    <w:tmpl w:val="020CE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713684">
    <w:abstractNumId w:val="2"/>
  </w:num>
  <w:num w:numId="2" w16cid:durableId="527182316">
    <w:abstractNumId w:val="1"/>
  </w:num>
  <w:num w:numId="3" w16cid:durableId="20919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81"/>
    <w:rsid w:val="00312BCE"/>
    <w:rsid w:val="004B4810"/>
    <w:rsid w:val="00A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946E7"/>
  <w15:chartTrackingRefBased/>
  <w15:docId w15:val="{B530014F-C1B1-4868-B5C1-B91CD091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98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Jie</dc:creator>
  <cp:keywords/>
  <dc:description/>
  <cp:lastModifiedBy>Shi Jie</cp:lastModifiedBy>
  <cp:revision>1</cp:revision>
  <dcterms:created xsi:type="dcterms:W3CDTF">2022-04-26T01:12:00Z</dcterms:created>
  <dcterms:modified xsi:type="dcterms:W3CDTF">2022-04-26T01:42:00Z</dcterms:modified>
</cp:coreProperties>
</file>