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5D3E8" w14:textId="375D51CB" w:rsidR="00472591" w:rsidRPr="007A0B3E" w:rsidRDefault="009B3C8B" w:rsidP="00AB6091">
      <w:pPr>
        <w:ind w:right="14"/>
        <w:rPr>
          <w:rFonts w:ascii="Garamond" w:hAnsi="Garamond"/>
          <w:b/>
        </w:rPr>
      </w:pPr>
      <w:r>
        <w:rPr>
          <w:rFonts w:ascii="Garamond" w:hAnsi="Garamond"/>
          <w:b/>
        </w:rPr>
        <w:t>229</w:t>
      </w:r>
      <w:r w:rsidR="00472591" w:rsidRPr="007A0B3E">
        <w:rPr>
          <w:rFonts w:ascii="Garamond" w:hAnsi="Garamond"/>
          <w:b/>
        </w:rPr>
        <w:t xml:space="preserve">. </w:t>
      </w:r>
      <w:r>
        <w:rPr>
          <w:rFonts w:ascii="Garamond" w:hAnsi="Garamond"/>
          <w:b/>
        </w:rPr>
        <w:t xml:space="preserve">Soriano sur </w:t>
      </w:r>
      <w:r w:rsidR="00472591" w:rsidRPr="00472591">
        <w:rPr>
          <w:rFonts w:ascii="Garamond" w:hAnsi="Garamond" w:cs="Arial"/>
          <w:b/>
          <w:i/>
          <w:szCs w:val="20"/>
        </w:rPr>
        <w:t>Cendrillon</w:t>
      </w:r>
    </w:p>
    <w:p w14:paraId="359F6172" w14:textId="77777777" w:rsidR="00472591" w:rsidRPr="007A0B3E" w:rsidRDefault="00472591" w:rsidP="00AB6091">
      <w:pPr>
        <w:ind w:right="14"/>
        <w:rPr>
          <w:rFonts w:ascii="Garamond" w:hAnsi="Garamond"/>
        </w:rPr>
      </w:pPr>
      <w:r w:rsidRPr="007A0B3E">
        <w:rPr>
          <w:rFonts w:ascii="Garamond" w:hAnsi="Garamond"/>
        </w:rPr>
        <w:t>________________________________________________________________________</w:t>
      </w:r>
      <w:r w:rsidR="00AB6091">
        <w:rPr>
          <w:rFonts w:ascii="Garamond" w:hAnsi="Garamond"/>
        </w:rPr>
        <w:t>____</w:t>
      </w:r>
    </w:p>
    <w:p w14:paraId="3E6A1720" w14:textId="77777777" w:rsidR="00472591" w:rsidRDefault="00472591" w:rsidP="009E7663">
      <w:pPr>
        <w:jc w:val="both"/>
        <w:rPr>
          <w:rFonts w:ascii="Garamond" w:hAnsi="Garamond"/>
          <w:b/>
        </w:rPr>
      </w:pPr>
    </w:p>
    <w:p w14:paraId="0705EFC2" w14:textId="77777777" w:rsidR="00472591" w:rsidRPr="00472591" w:rsidRDefault="00472591" w:rsidP="00472591">
      <w:pPr>
        <w:tabs>
          <w:tab w:val="left" w:pos="360"/>
        </w:tabs>
        <w:jc w:val="both"/>
        <w:rPr>
          <w:rFonts w:ascii="Garamond" w:hAnsi="Garamond"/>
          <w:b/>
        </w:rPr>
      </w:pPr>
      <w:r>
        <w:rPr>
          <w:rFonts w:ascii="Garamond" w:hAnsi="Garamond"/>
          <w:b/>
        </w:rPr>
        <w:t xml:space="preserve">Marc Soriano, </w:t>
      </w:r>
      <w:r>
        <w:rPr>
          <w:rFonts w:ascii="Garamond" w:hAnsi="Garamond"/>
          <w:b/>
          <w:i/>
        </w:rPr>
        <w:t>Les Contes de Perrault</w:t>
      </w:r>
      <w:r>
        <w:rPr>
          <w:rFonts w:ascii="Garamond" w:hAnsi="Garamond"/>
          <w:b/>
        </w:rPr>
        <w:t>, Paris, Gallimard, 1968, p. 141-147</w:t>
      </w:r>
    </w:p>
    <w:p w14:paraId="09CBA3BF" w14:textId="77777777" w:rsidR="00472591" w:rsidRDefault="00472591" w:rsidP="00472591">
      <w:pPr>
        <w:tabs>
          <w:tab w:val="left" w:pos="360"/>
        </w:tabs>
        <w:jc w:val="both"/>
        <w:rPr>
          <w:rFonts w:ascii="Garamond" w:hAnsi="Garamond"/>
          <w:b/>
        </w:rPr>
      </w:pPr>
    </w:p>
    <w:p w14:paraId="645587B0" w14:textId="77777777" w:rsidR="00472591" w:rsidRDefault="00472591" w:rsidP="00472591">
      <w:pPr>
        <w:tabs>
          <w:tab w:val="left" w:pos="360"/>
        </w:tabs>
        <w:jc w:val="both"/>
        <w:rPr>
          <w:rFonts w:ascii="Garamond" w:hAnsi="Garamond"/>
        </w:rPr>
      </w:pPr>
      <w:r>
        <w:rPr>
          <w:rFonts w:ascii="Garamond" w:hAnsi="Garamond"/>
        </w:rPr>
        <w:tab/>
        <w:t xml:space="preserve">Basile a traité le sujet dans son </w:t>
      </w:r>
      <w:r>
        <w:rPr>
          <w:rFonts w:ascii="Garamond" w:hAnsi="Garamond"/>
          <w:i/>
        </w:rPr>
        <w:t xml:space="preserve">Pentamerone </w:t>
      </w:r>
      <w:r w:rsidR="00547AF4">
        <w:rPr>
          <w:rFonts w:ascii="Garamond" w:hAnsi="Garamond"/>
        </w:rPr>
        <w:t>: c’</w:t>
      </w:r>
      <w:r>
        <w:rPr>
          <w:rFonts w:ascii="Garamond" w:hAnsi="Garamond"/>
        </w:rPr>
        <w:t xml:space="preserve">est la </w:t>
      </w:r>
      <w:r>
        <w:rPr>
          <w:rFonts w:ascii="Garamond" w:hAnsi="Garamond"/>
          <w:i/>
        </w:rPr>
        <w:t xml:space="preserve">Gatta Cenerentola </w:t>
      </w:r>
      <w:r>
        <w:rPr>
          <w:rFonts w:ascii="Garamond" w:hAnsi="Garamond"/>
        </w:rPr>
        <w:t>(I</w:t>
      </w:r>
      <w:r w:rsidRPr="00472591">
        <w:rPr>
          <w:rFonts w:ascii="Garamond" w:hAnsi="Garamond"/>
          <w:vertAlign w:val="superscript"/>
        </w:rPr>
        <w:t>ère</w:t>
      </w:r>
      <w:r>
        <w:rPr>
          <w:rFonts w:ascii="Garamond" w:hAnsi="Garamond"/>
        </w:rPr>
        <w:t xml:space="preserve"> journée, Conte 6), mais </w:t>
      </w:r>
      <w:r w:rsidR="005F28C2">
        <w:rPr>
          <w:rFonts w:ascii="Garamond" w:hAnsi="Garamond"/>
        </w:rPr>
        <w:t xml:space="preserve">[…] </w:t>
      </w:r>
      <w:r>
        <w:rPr>
          <w:rFonts w:ascii="Garamond" w:hAnsi="Garamond"/>
        </w:rPr>
        <w:t>son influence semble très peu probable : il n</w:t>
      </w:r>
      <w:r w:rsidR="00547AF4">
        <w:rPr>
          <w:rFonts w:ascii="Garamond" w:hAnsi="Garamond"/>
        </w:rPr>
        <w:t>’</w:t>
      </w:r>
      <w:r>
        <w:rPr>
          <w:rFonts w:ascii="Garamond" w:hAnsi="Garamond"/>
        </w:rPr>
        <w:t>y a vraiment aucune ressemblance entre le texte napolitain, cruel et rieur, qui développe un thème affecté de contaminations nombreuses et parfois atroces, et le texte français qui les évite avec soin et dont l</w:t>
      </w:r>
      <w:r w:rsidR="00547AF4">
        <w:rPr>
          <w:rFonts w:ascii="Garamond" w:hAnsi="Garamond"/>
        </w:rPr>
        <w:t>’</w:t>
      </w:r>
      <w:r>
        <w:rPr>
          <w:rFonts w:ascii="Garamond" w:hAnsi="Garamond"/>
        </w:rPr>
        <w:t>émotion reste d</w:t>
      </w:r>
      <w:r w:rsidR="00547AF4">
        <w:rPr>
          <w:rFonts w:ascii="Garamond" w:hAnsi="Garamond"/>
        </w:rPr>
        <w:t>’</w:t>
      </w:r>
      <w:r>
        <w:rPr>
          <w:rFonts w:ascii="Garamond" w:hAnsi="Garamond"/>
        </w:rPr>
        <w:t>une remarquable sobriété. Apparemment, l</w:t>
      </w:r>
      <w:r w:rsidR="00547AF4">
        <w:rPr>
          <w:rFonts w:ascii="Garamond" w:hAnsi="Garamond"/>
        </w:rPr>
        <w:t>’</w:t>
      </w:r>
      <w:r>
        <w:rPr>
          <w:rFonts w:ascii="Garamond" w:hAnsi="Garamond"/>
        </w:rPr>
        <w:t xml:space="preserve">auteur ne connaît pas Basile. </w:t>
      </w:r>
      <w:r w:rsidR="005F28C2">
        <w:rPr>
          <w:rFonts w:ascii="Garamond" w:hAnsi="Garamond"/>
        </w:rPr>
        <w:t>[…]</w:t>
      </w:r>
      <w:r>
        <w:rPr>
          <w:rFonts w:ascii="Garamond" w:hAnsi="Garamond"/>
        </w:rPr>
        <w:t xml:space="preserve"> [L</w:t>
      </w:r>
      <w:r w:rsidR="00547AF4">
        <w:rPr>
          <w:rFonts w:ascii="Garamond" w:hAnsi="Garamond"/>
        </w:rPr>
        <w:t>’</w:t>
      </w:r>
      <w:r>
        <w:rPr>
          <w:rFonts w:ascii="Garamond" w:hAnsi="Garamond"/>
        </w:rPr>
        <w:t>]auteur travaille ici sur une version qui apparemment n</w:t>
      </w:r>
      <w:r w:rsidR="00547AF4">
        <w:rPr>
          <w:rFonts w:ascii="Garamond" w:hAnsi="Garamond"/>
        </w:rPr>
        <w:t>’</w:t>
      </w:r>
      <w:r>
        <w:rPr>
          <w:rFonts w:ascii="Garamond" w:hAnsi="Garamond"/>
        </w:rPr>
        <w:t>a subi aucune contamination et qu</w:t>
      </w:r>
      <w:r w:rsidR="00547AF4">
        <w:rPr>
          <w:rFonts w:ascii="Garamond" w:hAnsi="Garamond"/>
        </w:rPr>
        <w:t>’</w:t>
      </w:r>
      <w:r>
        <w:rPr>
          <w:rFonts w:ascii="Garamond" w:hAnsi="Garamond"/>
        </w:rPr>
        <w:t>il a, dirait-on, notée directement ou reconstituée après un temps relativement court.</w:t>
      </w:r>
    </w:p>
    <w:p w14:paraId="404358B5" w14:textId="77777777" w:rsidR="00472591" w:rsidRDefault="00472591" w:rsidP="00472591">
      <w:pPr>
        <w:tabs>
          <w:tab w:val="left" w:pos="360"/>
        </w:tabs>
        <w:jc w:val="both"/>
        <w:rPr>
          <w:rFonts w:ascii="Garamond" w:hAnsi="Garamond"/>
        </w:rPr>
      </w:pPr>
      <w:r>
        <w:rPr>
          <w:rFonts w:ascii="Garamond" w:hAnsi="Garamond"/>
        </w:rPr>
        <w:tab/>
        <w:t>L</w:t>
      </w:r>
      <w:r w:rsidR="00547AF4">
        <w:rPr>
          <w:rFonts w:ascii="Garamond" w:hAnsi="Garamond"/>
        </w:rPr>
        <w:t>’</w:t>
      </w:r>
      <w:r>
        <w:rPr>
          <w:rFonts w:ascii="Garamond" w:hAnsi="Garamond"/>
        </w:rPr>
        <w:t>adaptation est, comme toujours, très fidèle : l</w:t>
      </w:r>
      <w:r w:rsidR="00547AF4">
        <w:rPr>
          <w:rFonts w:ascii="Garamond" w:hAnsi="Garamond"/>
        </w:rPr>
        <w:t>’</w:t>
      </w:r>
      <w:r>
        <w:rPr>
          <w:rFonts w:ascii="Garamond" w:hAnsi="Garamond"/>
        </w:rPr>
        <w:t>auteur conserve avec soin le motif du soulier, l</w:t>
      </w:r>
      <w:r w:rsidR="00547AF4">
        <w:rPr>
          <w:rFonts w:ascii="Garamond" w:hAnsi="Garamond"/>
        </w:rPr>
        <w:t>’</w:t>
      </w:r>
      <w:r>
        <w:rPr>
          <w:rFonts w:ascii="Garamond" w:hAnsi="Garamond"/>
        </w:rPr>
        <w:t>épisode de l</w:t>
      </w:r>
      <w:r w:rsidR="00547AF4">
        <w:rPr>
          <w:rFonts w:ascii="Garamond" w:hAnsi="Garamond"/>
        </w:rPr>
        <w:t>’</w:t>
      </w:r>
      <w:r>
        <w:rPr>
          <w:rFonts w:ascii="Garamond" w:hAnsi="Garamond"/>
        </w:rPr>
        <w:t>essai, le bal, le rythme ternaire du récit (les trois robes, les rencontres avec le prince) ; l</w:t>
      </w:r>
      <w:r w:rsidR="00547AF4">
        <w:rPr>
          <w:rFonts w:ascii="Garamond" w:hAnsi="Garamond"/>
        </w:rPr>
        <w:t>’</w:t>
      </w:r>
      <w:r>
        <w:rPr>
          <w:rFonts w:ascii="Garamond" w:hAnsi="Garamond"/>
        </w:rPr>
        <w:t>expression est simple et pleine d</w:t>
      </w:r>
      <w:r w:rsidR="00547AF4">
        <w:rPr>
          <w:rFonts w:ascii="Garamond" w:hAnsi="Garamond"/>
        </w:rPr>
        <w:t>’</w:t>
      </w:r>
      <w:r>
        <w:rPr>
          <w:rFonts w:ascii="Garamond" w:hAnsi="Garamond"/>
        </w:rPr>
        <w:t>émotion.</w:t>
      </w:r>
    </w:p>
    <w:p w14:paraId="72AEF590" w14:textId="77777777" w:rsidR="00472591" w:rsidRDefault="00472591" w:rsidP="00472591">
      <w:pPr>
        <w:tabs>
          <w:tab w:val="left" w:pos="360"/>
        </w:tabs>
        <w:jc w:val="both"/>
        <w:rPr>
          <w:rFonts w:ascii="Garamond" w:hAnsi="Garamond"/>
        </w:rPr>
      </w:pPr>
      <w:r>
        <w:rPr>
          <w:rFonts w:ascii="Garamond" w:hAnsi="Garamond"/>
        </w:rPr>
        <w:tab/>
        <w:t>Mais cette simplicité, quand on y regarde de plus près, est obtenue par des effets très savants </w:t>
      </w:r>
      <w:r w:rsidR="005F28C2">
        <w:rPr>
          <w:rFonts w:ascii="Garamond" w:hAnsi="Garamond"/>
        </w:rPr>
        <w:t>[…]</w:t>
      </w:r>
      <w:r>
        <w:rPr>
          <w:rFonts w:ascii="Garamond" w:hAnsi="Garamond"/>
        </w:rPr>
        <w:t>. Le plus saisissant de ces effets, sans doute, c</w:t>
      </w:r>
      <w:r w:rsidR="00547AF4">
        <w:rPr>
          <w:rFonts w:ascii="Garamond" w:hAnsi="Garamond"/>
        </w:rPr>
        <w:t>’</w:t>
      </w:r>
      <w:r>
        <w:rPr>
          <w:rFonts w:ascii="Garamond" w:hAnsi="Garamond"/>
        </w:rPr>
        <w:t>est celui qui concerne les bals.</w:t>
      </w:r>
    </w:p>
    <w:p w14:paraId="3D0F7F09" w14:textId="77777777" w:rsidR="00472591" w:rsidRDefault="00472591" w:rsidP="00472591">
      <w:pPr>
        <w:tabs>
          <w:tab w:val="left" w:pos="360"/>
        </w:tabs>
        <w:jc w:val="both"/>
        <w:rPr>
          <w:rFonts w:ascii="Garamond" w:hAnsi="Garamond"/>
        </w:rPr>
      </w:pPr>
      <w:r>
        <w:rPr>
          <w:rFonts w:ascii="Garamond" w:hAnsi="Garamond"/>
        </w:rPr>
        <w:tab/>
        <w:t>Suivant les versions, l</w:t>
      </w:r>
      <w:r w:rsidR="00547AF4">
        <w:rPr>
          <w:rFonts w:ascii="Garamond" w:hAnsi="Garamond"/>
        </w:rPr>
        <w:t>’</w:t>
      </w:r>
      <w:r>
        <w:rPr>
          <w:rFonts w:ascii="Garamond" w:hAnsi="Garamond"/>
        </w:rPr>
        <w:t>héroïne va une, deux ou trois fois au bal du prince. Le nombre de bals correspondant à celui des fruits magiques, la version la plus courante et la plus logique est, semble-t-il, celle qui contient trois bals.</w:t>
      </w:r>
    </w:p>
    <w:p w14:paraId="16896180" w14:textId="77777777" w:rsidR="00472591" w:rsidRDefault="00472591" w:rsidP="00472591">
      <w:pPr>
        <w:tabs>
          <w:tab w:val="left" w:pos="360"/>
        </w:tabs>
        <w:jc w:val="both"/>
        <w:rPr>
          <w:rFonts w:ascii="Garamond" w:hAnsi="Garamond"/>
        </w:rPr>
      </w:pPr>
      <w:r>
        <w:rPr>
          <w:rFonts w:ascii="Garamond" w:hAnsi="Garamond"/>
        </w:rPr>
        <w:tab/>
        <w:t>L</w:t>
      </w:r>
      <w:r w:rsidR="00547AF4">
        <w:rPr>
          <w:rFonts w:ascii="Garamond" w:hAnsi="Garamond"/>
        </w:rPr>
        <w:t>’</w:t>
      </w:r>
      <w:r>
        <w:rPr>
          <w:rFonts w:ascii="Garamond" w:hAnsi="Garamond"/>
        </w:rPr>
        <w:t>auteur veut visiblement respecter ce rythme ternaire qu</w:t>
      </w:r>
      <w:r w:rsidR="00547AF4">
        <w:rPr>
          <w:rFonts w:ascii="Garamond" w:hAnsi="Garamond"/>
        </w:rPr>
        <w:t>’</w:t>
      </w:r>
      <w:r>
        <w:rPr>
          <w:rFonts w:ascii="Garamond" w:hAnsi="Garamond"/>
        </w:rPr>
        <w:t>il juge, avec raison, traditionnel, mais en même temps, il désire éviter la monotonie qui pourrait résulter de la répétition de la même scène. Pris par cette double exigence, il a une trouvaille de composition d</w:t>
      </w:r>
      <w:r w:rsidR="00547AF4">
        <w:rPr>
          <w:rFonts w:ascii="Garamond" w:hAnsi="Garamond"/>
        </w:rPr>
        <w:t>’</w:t>
      </w:r>
      <w:r>
        <w:rPr>
          <w:rFonts w:ascii="Garamond" w:hAnsi="Garamond"/>
        </w:rPr>
        <w:t xml:space="preserve">une habileté réellement exceptionnelle. Il élimine le troisième bal, ce qui oblige Cendrillon à perdre sa pantoufle à sa </w:t>
      </w:r>
      <w:r>
        <w:rPr>
          <w:rFonts w:ascii="Garamond" w:hAnsi="Garamond"/>
          <w:i/>
        </w:rPr>
        <w:t xml:space="preserve">seconde </w:t>
      </w:r>
      <w:r>
        <w:rPr>
          <w:rFonts w:ascii="Garamond" w:hAnsi="Garamond"/>
        </w:rPr>
        <w:t>sortie. Mais la scène du premier bal est présentée deux fois, une fois telle que l</w:t>
      </w:r>
      <w:r w:rsidR="00547AF4">
        <w:rPr>
          <w:rFonts w:ascii="Garamond" w:hAnsi="Garamond"/>
        </w:rPr>
        <w:t>’</w:t>
      </w:r>
      <w:r>
        <w:rPr>
          <w:rFonts w:ascii="Garamond" w:hAnsi="Garamond"/>
        </w:rPr>
        <w:t>a vécue Cendrillon et une seconde fois telle que l</w:t>
      </w:r>
      <w:r w:rsidR="00547AF4">
        <w:rPr>
          <w:rFonts w:ascii="Garamond" w:hAnsi="Garamond"/>
        </w:rPr>
        <w:t>’</w:t>
      </w:r>
      <w:r>
        <w:rPr>
          <w:rFonts w:ascii="Garamond" w:hAnsi="Garamond"/>
        </w:rPr>
        <w:t>ont vue les deux méchantes sœurs, ce qui évidemment entraîne un approfondissement des personnages.</w:t>
      </w:r>
    </w:p>
    <w:p w14:paraId="2F6E2E30" w14:textId="77777777" w:rsidR="005C570A" w:rsidRDefault="00472591" w:rsidP="00472591">
      <w:pPr>
        <w:tabs>
          <w:tab w:val="left" w:pos="360"/>
        </w:tabs>
        <w:jc w:val="both"/>
        <w:rPr>
          <w:rFonts w:ascii="Garamond" w:hAnsi="Garamond"/>
        </w:rPr>
      </w:pPr>
      <w:r>
        <w:rPr>
          <w:rFonts w:ascii="Garamond" w:hAnsi="Garamond"/>
        </w:rPr>
        <w:tab/>
      </w:r>
      <w:r w:rsidR="00DD27E7">
        <w:rPr>
          <w:rFonts w:ascii="Garamond" w:hAnsi="Garamond"/>
        </w:rPr>
        <w:t>En fait, un seul bal est réellement raconté, mais par un habile «</w:t>
      </w:r>
      <w:r w:rsidR="005C570A">
        <w:rPr>
          <w:rFonts w:ascii="Garamond" w:hAnsi="Garamond"/>
        </w:rPr>
        <w:t> effet de miroir </w:t>
      </w:r>
      <w:r w:rsidR="00DD27E7">
        <w:rPr>
          <w:rFonts w:ascii="Garamond" w:hAnsi="Garamond"/>
        </w:rPr>
        <w:t>»</w:t>
      </w:r>
      <w:r w:rsidR="005C570A">
        <w:rPr>
          <w:rFonts w:ascii="Garamond" w:hAnsi="Garamond"/>
        </w:rPr>
        <w:t>, il est raconté en trois et même en quatre fois, si l</w:t>
      </w:r>
      <w:r w:rsidR="00547AF4">
        <w:rPr>
          <w:rFonts w:ascii="Garamond" w:hAnsi="Garamond"/>
        </w:rPr>
        <w:t>’</w:t>
      </w:r>
      <w:r w:rsidR="005C570A">
        <w:rPr>
          <w:rFonts w:ascii="Garamond" w:hAnsi="Garamond"/>
        </w:rPr>
        <w:t>on compte le second récit des méchantes sœurs, ce qui donne au lecteur l</w:t>
      </w:r>
      <w:r w:rsidR="00547AF4">
        <w:rPr>
          <w:rFonts w:ascii="Garamond" w:hAnsi="Garamond"/>
        </w:rPr>
        <w:t>’</w:t>
      </w:r>
      <w:r w:rsidR="005C570A">
        <w:rPr>
          <w:rFonts w:ascii="Garamond" w:hAnsi="Garamond"/>
        </w:rPr>
        <w:t>impression que les autres bals sont, eux aussi, décrits en détail.</w:t>
      </w:r>
    </w:p>
    <w:p w14:paraId="30EEB43E" w14:textId="77777777" w:rsidR="00860EB6" w:rsidRDefault="005C570A" w:rsidP="00472591">
      <w:pPr>
        <w:tabs>
          <w:tab w:val="left" w:pos="360"/>
        </w:tabs>
        <w:jc w:val="both"/>
        <w:rPr>
          <w:rFonts w:ascii="Garamond" w:hAnsi="Garamond"/>
        </w:rPr>
      </w:pPr>
      <w:r>
        <w:rPr>
          <w:rFonts w:ascii="Garamond" w:hAnsi="Garamond"/>
        </w:rPr>
        <w:tab/>
        <w:t>Un adroit contrepoint organise ces récits de façon à éviter toute redite : tantôt l</w:t>
      </w:r>
      <w:r w:rsidR="00547AF4">
        <w:rPr>
          <w:rFonts w:ascii="Garamond" w:hAnsi="Garamond"/>
        </w:rPr>
        <w:t>’</w:t>
      </w:r>
      <w:r>
        <w:rPr>
          <w:rFonts w:ascii="Garamond" w:hAnsi="Garamond"/>
        </w:rPr>
        <w:t>exposé présente les mêmes faits d</w:t>
      </w:r>
      <w:r w:rsidR="00547AF4">
        <w:rPr>
          <w:rFonts w:ascii="Garamond" w:hAnsi="Garamond"/>
        </w:rPr>
        <w:t>’</w:t>
      </w:r>
      <w:r>
        <w:rPr>
          <w:rFonts w:ascii="Garamond" w:hAnsi="Garamond"/>
        </w:rPr>
        <w:t>une façon différente, ces différences jouant un rôle effectif dans l</w:t>
      </w:r>
      <w:r w:rsidR="00547AF4">
        <w:rPr>
          <w:rFonts w:ascii="Garamond" w:hAnsi="Garamond"/>
        </w:rPr>
        <w:t>’</w:t>
      </w:r>
      <w:r>
        <w:rPr>
          <w:rFonts w:ascii="Garamond" w:hAnsi="Garamond"/>
        </w:rPr>
        <w:t>action (le premier récit des méchantes sœurs), tantôt il se borne à raconter ce qui s</w:t>
      </w:r>
      <w:r w:rsidR="00547AF4">
        <w:rPr>
          <w:rFonts w:ascii="Garamond" w:hAnsi="Garamond"/>
        </w:rPr>
        <w:t>’</w:t>
      </w:r>
      <w:r>
        <w:rPr>
          <w:rFonts w:ascii="Garamond" w:hAnsi="Garamond"/>
        </w:rPr>
        <w:t>est passé de nouveau par rapport à la première description (le second bal vu par Cendrillon), tantôt il introduit une circonstance qui n</w:t>
      </w:r>
      <w:r w:rsidR="00547AF4">
        <w:rPr>
          <w:rFonts w:ascii="Garamond" w:hAnsi="Garamond"/>
        </w:rPr>
        <w:t>’</w:t>
      </w:r>
      <w:r>
        <w:rPr>
          <w:rFonts w:ascii="Garamond" w:hAnsi="Garamond"/>
        </w:rPr>
        <w:t>est pas encore intervenue et qui fait rebondir l</w:t>
      </w:r>
      <w:r w:rsidR="00547AF4">
        <w:rPr>
          <w:rFonts w:ascii="Garamond" w:hAnsi="Garamond"/>
        </w:rPr>
        <w:t>’</w:t>
      </w:r>
      <w:r>
        <w:rPr>
          <w:rFonts w:ascii="Garamond" w:hAnsi="Garamond"/>
        </w:rPr>
        <w:t>action (second récit des méchantes sœurs nous annonçant que le roi est assurément fort amoureux de l</w:t>
      </w:r>
      <w:r w:rsidR="00547AF4">
        <w:rPr>
          <w:rFonts w:ascii="Garamond" w:hAnsi="Garamond"/>
        </w:rPr>
        <w:t>’</w:t>
      </w:r>
      <w:r>
        <w:rPr>
          <w:rFonts w:ascii="Garamond" w:hAnsi="Garamond"/>
        </w:rPr>
        <w:t>inconnue).</w:t>
      </w:r>
    </w:p>
    <w:p w14:paraId="508568F8" w14:textId="77777777" w:rsidR="00860EB6" w:rsidRDefault="00860EB6" w:rsidP="00472591">
      <w:pPr>
        <w:tabs>
          <w:tab w:val="left" w:pos="360"/>
        </w:tabs>
        <w:jc w:val="both"/>
        <w:rPr>
          <w:rFonts w:ascii="Garamond" w:hAnsi="Garamond"/>
        </w:rPr>
      </w:pPr>
      <w:r>
        <w:rPr>
          <w:rFonts w:ascii="Garamond" w:hAnsi="Garamond"/>
        </w:rPr>
        <w:tab/>
        <w:t>Cette fidélité n</w:t>
      </w:r>
      <w:r w:rsidR="00547AF4">
        <w:rPr>
          <w:rFonts w:ascii="Garamond" w:hAnsi="Garamond"/>
        </w:rPr>
        <w:t>’</w:t>
      </w:r>
      <w:r>
        <w:rPr>
          <w:rFonts w:ascii="Garamond" w:hAnsi="Garamond"/>
        </w:rPr>
        <w:t>exclut pas une attitude critique par rapport au folklore.</w:t>
      </w:r>
    </w:p>
    <w:p w14:paraId="2918BFA5" w14:textId="77777777" w:rsidR="00860EB6" w:rsidRDefault="00860EB6" w:rsidP="00472591">
      <w:pPr>
        <w:tabs>
          <w:tab w:val="left" w:pos="360"/>
        </w:tabs>
        <w:jc w:val="both"/>
        <w:rPr>
          <w:rFonts w:ascii="Garamond" w:hAnsi="Garamond"/>
        </w:rPr>
      </w:pPr>
      <w:r>
        <w:rPr>
          <w:rFonts w:ascii="Garamond" w:hAnsi="Garamond"/>
        </w:rPr>
        <w:tab/>
        <w:t>Notre conteur élimine par exemple tel détail vulgaire qu</w:t>
      </w:r>
      <w:r w:rsidR="00547AF4">
        <w:rPr>
          <w:rFonts w:ascii="Garamond" w:hAnsi="Garamond"/>
        </w:rPr>
        <w:t>’</w:t>
      </w:r>
      <w:r>
        <w:rPr>
          <w:rFonts w:ascii="Garamond" w:hAnsi="Garamond"/>
        </w:rPr>
        <w:t>il a dû connaître car il se retrouve dans diverses versions pourtant influencées par l</w:t>
      </w:r>
      <w:r w:rsidR="00547AF4">
        <w:rPr>
          <w:rFonts w:ascii="Garamond" w:hAnsi="Garamond"/>
        </w:rPr>
        <w:t>’</w:t>
      </w:r>
      <w:r>
        <w:rPr>
          <w:rFonts w:ascii="Garamond" w:hAnsi="Garamond"/>
        </w:rPr>
        <w:t>imprimé, par exemple le motif de l</w:t>
      </w:r>
      <w:r w:rsidR="00547AF4">
        <w:rPr>
          <w:rFonts w:ascii="Garamond" w:hAnsi="Garamond"/>
        </w:rPr>
        <w:t>’</w:t>
      </w:r>
      <w:r>
        <w:rPr>
          <w:rFonts w:ascii="Garamond" w:hAnsi="Garamond"/>
        </w:rPr>
        <w:t>héroïne qui jette du sel dans le feu pour faire croire qu</w:t>
      </w:r>
      <w:r w:rsidR="00547AF4">
        <w:rPr>
          <w:rFonts w:ascii="Garamond" w:hAnsi="Garamond"/>
        </w:rPr>
        <w:t>’</w:t>
      </w:r>
      <w:r>
        <w:rPr>
          <w:rFonts w:ascii="Garamond" w:hAnsi="Garamond"/>
        </w:rPr>
        <w:t>elle s</w:t>
      </w:r>
      <w:r w:rsidR="00547AF4">
        <w:rPr>
          <w:rFonts w:ascii="Garamond" w:hAnsi="Garamond"/>
        </w:rPr>
        <w:t>’</w:t>
      </w:r>
      <w:r>
        <w:rPr>
          <w:rFonts w:ascii="Garamond" w:hAnsi="Garamond"/>
        </w:rPr>
        <w:t xml:space="preserve">épouille. Il garde pourtant le qualificatif de </w:t>
      </w:r>
      <w:r>
        <w:rPr>
          <w:rFonts w:ascii="Garamond" w:hAnsi="Garamond"/>
          <w:i/>
        </w:rPr>
        <w:t>Cucendron</w:t>
      </w:r>
      <w:r>
        <w:rPr>
          <w:rFonts w:ascii="Garamond" w:hAnsi="Garamond"/>
        </w:rPr>
        <w:t xml:space="preserve"> qu</w:t>
      </w:r>
      <w:r w:rsidR="00547AF4">
        <w:rPr>
          <w:rFonts w:ascii="Garamond" w:hAnsi="Garamond"/>
        </w:rPr>
        <w:t>’</w:t>
      </w:r>
      <w:r>
        <w:rPr>
          <w:rFonts w:ascii="Garamond" w:hAnsi="Garamond"/>
        </w:rPr>
        <w:t>une précieuse aurait sûrement proscrit. Toutefois le mot est présenté en italique, comme une citation et revient une seconde fois, toujours comme une citation, dans la bouche de « Mademoiselle Javotte ».</w:t>
      </w:r>
    </w:p>
    <w:p w14:paraId="357CF6B5" w14:textId="77777777" w:rsidR="002F303E" w:rsidRDefault="00860EB6" w:rsidP="00472591">
      <w:pPr>
        <w:tabs>
          <w:tab w:val="left" w:pos="360"/>
        </w:tabs>
        <w:jc w:val="both"/>
        <w:rPr>
          <w:rFonts w:ascii="Garamond" w:hAnsi="Garamond"/>
        </w:rPr>
      </w:pPr>
      <w:r>
        <w:rPr>
          <w:rFonts w:ascii="Garamond" w:hAnsi="Garamond"/>
        </w:rPr>
        <w:tab/>
      </w:r>
      <w:r w:rsidR="0016414C">
        <w:rPr>
          <w:rFonts w:ascii="Garamond" w:hAnsi="Garamond"/>
        </w:rPr>
        <w:t>L</w:t>
      </w:r>
      <w:r w:rsidR="00547AF4">
        <w:rPr>
          <w:rFonts w:ascii="Garamond" w:hAnsi="Garamond"/>
        </w:rPr>
        <w:t>’</w:t>
      </w:r>
      <w:r w:rsidR="0016414C">
        <w:rPr>
          <w:rFonts w:ascii="Garamond" w:hAnsi="Garamond"/>
        </w:rPr>
        <w:t>attitude de l</w:t>
      </w:r>
      <w:r w:rsidR="00547AF4">
        <w:rPr>
          <w:rFonts w:ascii="Garamond" w:hAnsi="Garamond"/>
        </w:rPr>
        <w:t>’</w:t>
      </w:r>
      <w:r w:rsidR="0016414C">
        <w:rPr>
          <w:rFonts w:ascii="Garamond" w:hAnsi="Garamond"/>
        </w:rPr>
        <w:t>auteur à l</w:t>
      </w:r>
      <w:r w:rsidR="00547AF4">
        <w:rPr>
          <w:rFonts w:ascii="Garamond" w:hAnsi="Garamond"/>
        </w:rPr>
        <w:t>’</w:t>
      </w:r>
      <w:r w:rsidR="0016414C">
        <w:rPr>
          <w:rFonts w:ascii="Garamond" w:hAnsi="Garamond"/>
        </w:rPr>
        <w:t>égard de la féerie est plus complexe : il écarte certaines inventions qui sont pourtant bien dans l</w:t>
      </w:r>
      <w:r w:rsidR="00547AF4">
        <w:rPr>
          <w:rFonts w:ascii="Garamond" w:hAnsi="Garamond"/>
        </w:rPr>
        <w:t>’</w:t>
      </w:r>
      <w:r w:rsidR="0016414C">
        <w:rPr>
          <w:rFonts w:ascii="Garamond" w:hAnsi="Garamond"/>
        </w:rPr>
        <w:t>esprit du conte, par exemple les trois fruits qui dans certaines versions contiennent les robes merveilleuses de la fée ou les trois pays bizarres (du balai, du torchon, etc.) dont Cendrillon déclare être originaire, mais en même temps se livre à une débauche d</w:t>
      </w:r>
      <w:r w:rsidR="00547AF4">
        <w:rPr>
          <w:rFonts w:ascii="Garamond" w:hAnsi="Garamond"/>
        </w:rPr>
        <w:t>’</w:t>
      </w:r>
      <w:r w:rsidR="0016414C">
        <w:rPr>
          <w:rFonts w:ascii="Garamond" w:hAnsi="Garamond"/>
        </w:rPr>
        <w:t>inventions pittoresques, souris changées en chevaux, rat en cocher, lézards en laquais, etc.</w:t>
      </w:r>
    </w:p>
    <w:p w14:paraId="16114876" w14:textId="77777777" w:rsidR="002307E6" w:rsidRDefault="002F303E" w:rsidP="00472591">
      <w:pPr>
        <w:tabs>
          <w:tab w:val="left" w:pos="360"/>
        </w:tabs>
        <w:jc w:val="both"/>
        <w:rPr>
          <w:rFonts w:ascii="Garamond" w:hAnsi="Garamond"/>
        </w:rPr>
      </w:pPr>
      <w:r>
        <w:rPr>
          <w:rFonts w:ascii="Garamond" w:hAnsi="Garamond"/>
        </w:rPr>
        <w:tab/>
        <w:t>Faut-il voir dans ces transformations, comme l</w:t>
      </w:r>
      <w:r w:rsidR="00547AF4">
        <w:rPr>
          <w:rFonts w:ascii="Garamond" w:hAnsi="Garamond"/>
        </w:rPr>
        <w:t>’</w:t>
      </w:r>
      <w:r>
        <w:rPr>
          <w:rFonts w:ascii="Garamond" w:hAnsi="Garamond"/>
        </w:rPr>
        <w:t>affirme E. Krantz (1882) : « les manifestations d</w:t>
      </w:r>
      <w:r w:rsidR="00547AF4">
        <w:rPr>
          <w:rFonts w:ascii="Garamond" w:hAnsi="Garamond"/>
        </w:rPr>
        <w:t>’</w:t>
      </w:r>
      <w:r>
        <w:rPr>
          <w:rFonts w:ascii="Garamond" w:hAnsi="Garamond"/>
        </w:rPr>
        <w:t>un esprit cartésien qui ne peut, même dans ses inventions féeriques, se départir de certaines exigences rationnelles. » L</w:t>
      </w:r>
      <w:r w:rsidR="00547AF4">
        <w:rPr>
          <w:rFonts w:ascii="Garamond" w:hAnsi="Garamond"/>
        </w:rPr>
        <w:t>’</w:t>
      </w:r>
      <w:r>
        <w:rPr>
          <w:rFonts w:ascii="Garamond" w:hAnsi="Garamond"/>
        </w:rPr>
        <w:t>interprétation est tentante , mais dangereuse. Elle mène directement à l</w:t>
      </w:r>
      <w:r w:rsidR="00547AF4">
        <w:rPr>
          <w:rFonts w:ascii="Garamond" w:hAnsi="Garamond"/>
        </w:rPr>
        <w:t>’</w:t>
      </w:r>
      <w:r>
        <w:rPr>
          <w:rFonts w:ascii="Garamond" w:hAnsi="Garamond"/>
        </w:rPr>
        <w:t>erreur de Balzac et de Littré sur la pantoufle de « vair ». Le « cartésianisme » ou plutôt le « rationalisme » de l</w:t>
      </w:r>
      <w:r w:rsidR="00547AF4">
        <w:rPr>
          <w:rFonts w:ascii="Garamond" w:hAnsi="Garamond"/>
        </w:rPr>
        <w:t>’</w:t>
      </w:r>
      <w:r>
        <w:rPr>
          <w:rFonts w:ascii="Garamond" w:hAnsi="Garamond"/>
        </w:rPr>
        <w:t>auteur est certain : encore faut-il voir où il se situe. On comprend d</w:t>
      </w:r>
      <w:r w:rsidR="00547AF4">
        <w:rPr>
          <w:rFonts w:ascii="Garamond" w:hAnsi="Garamond"/>
        </w:rPr>
        <w:t>’</w:t>
      </w:r>
      <w:r>
        <w:rPr>
          <w:rFonts w:ascii="Garamond" w:hAnsi="Garamond"/>
        </w:rPr>
        <w:t xml:space="preserve">ailleurs mal pourquoi il serait plus rationnel de transformer des souris en chevaux sous prétexte que </w:t>
      </w:r>
      <w:r>
        <w:rPr>
          <w:rFonts w:ascii="Garamond" w:hAnsi="Garamond"/>
        </w:rPr>
        <w:lastRenderedPageBreak/>
        <w:t>certains chevaux sont gris-souris.</w:t>
      </w:r>
    </w:p>
    <w:p w14:paraId="30158E04" w14:textId="77777777" w:rsidR="002307E6" w:rsidRDefault="002307E6" w:rsidP="00472591">
      <w:pPr>
        <w:tabs>
          <w:tab w:val="left" w:pos="360"/>
        </w:tabs>
        <w:jc w:val="both"/>
        <w:rPr>
          <w:rFonts w:ascii="Garamond" w:hAnsi="Garamond"/>
        </w:rPr>
      </w:pPr>
      <w:r>
        <w:rPr>
          <w:rFonts w:ascii="Garamond" w:hAnsi="Garamond"/>
        </w:rPr>
        <w:tab/>
        <w:t>Le raisonnement par analogie peut parfois mener à des conclusions exactes, mais ne saurait en aucun cas être considéré comme un modèle de raisonnement rationnel.</w:t>
      </w:r>
    </w:p>
    <w:p w14:paraId="45F5FD4E" w14:textId="77777777" w:rsidR="002307E6" w:rsidRDefault="002307E6" w:rsidP="00472591">
      <w:pPr>
        <w:tabs>
          <w:tab w:val="left" w:pos="360"/>
        </w:tabs>
        <w:jc w:val="both"/>
        <w:rPr>
          <w:rFonts w:ascii="Garamond" w:hAnsi="Garamond"/>
        </w:rPr>
      </w:pPr>
      <w:r>
        <w:rPr>
          <w:rFonts w:ascii="Garamond" w:hAnsi="Garamond"/>
        </w:rPr>
        <w:tab/>
        <w:t>Où chercher donc, dans cette affaire, le cartésianisme de notre auteur ?</w:t>
      </w:r>
    </w:p>
    <w:p w14:paraId="0903689D" w14:textId="77777777" w:rsidR="002307E6" w:rsidRDefault="002307E6" w:rsidP="00472591">
      <w:pPr>
        <w:tabs>
          <w:tab w:val="left" w:pos="360"/>
        </w:tabs>
        <w:jc w:val="both"/>
        <w:rPr>
          <w:rFonts w:ascii="Garamond" w:hAnsi="Garamond"/>
        </w:rPr>
      </w:pPr>
      <w:r>
        <w:rPr>
          <w:rFonts w:ascii="Garamond" w:hAnsi="Garamond"/>
        </w:rPr>
        <w:tab/>
        <w:t>Il est, semble-t-il, dans l</w:t>
      </w:r>
      <w:r w:rsidR="00547AF4">
        <w:rPr>
          <w:rFonts w:ascii="Garamond" w:hAnsi="Garamond"/>
        </w:rPr>
        <w:t>’</w:t>
      </w:r>
      <w:r>
        <w:rPr>
          <w:rFonts w:ascii="Garamond" w:hAnsi="Garamond"/>
        </w:rPr>
        <w:t>humour léger qui préside aux opérations magiques. Les charmes de la fée, pour surprenants qu</w:t>
      </w:r>
      <w:r w:rsidR="00547AF4">
        <w:rPr>
          <w:rFonts w:ascii="Garamond" w:hAnsi="Garamond"/>
        </w:rPr>
        <w:t>’</w:t>
      </w:r>
      <w:r>
        <w:rPr>
          <w:rFonts w:ascii="Garamond" w:hAnsi="Garamond"/>
        </w:rPr>
        <w:t>ils soient, opèrent suivant des règles de correspondance très définies et ces règles sont si claires, si évidentes que Cendrillon les comprend très vite et va au-devant des désirs de sa marraine.</w:t>
      </w:r>
    </w:p>
    <w:p w14:paraId="62D10941" w14:textId="77777777" w:rsidR="002307E6" w:rsidRDefault="002307E6" w:rsidP="00472591">
      <w:pPr>
        <w:tabs>
          <w:tab w:val="left" w:pos="360"/>
        </w:tabs>
        <w:jc w:val="both"/>
        <w:rPr>
          <w:rFonts w:ascii="Garamond" w:hAnsi="Garamond"/>
        </w:rPr>
      </w:pPr>
    </w:p>
    <w:p w14:paraId="085CE1A0" w14:textId="77777777" w:rsidR="008078FD" w:rsidRPr="005F28C2" w:rsidRDefault="002307E6" w:rsidP="005F28C2">
      <w:pPr>
        <w:tabs>
          <w:tab w:val="left" w:pos="360"/>
        </w:tabs>
        <w:ind w:left="720"/>
        <w:jc w:val="both"/>
        <w:rPr>
          <w:rFonts w:ascii="Garamond" w:hAnsi="Garamond"/>
          <w:sz w:val="22"/>
        </w:rPr>
      </w:pPr>
      <w:r w:rsidRPr="005F28C2">
        <w:rPr>
          <w:rFonts w:ascii="Garamond" w:hAnsi="Garamond"/>
          <w:sz w:val="22"/>
        </w:rPr>
        <w:t xml:space="preserve">Comme elle était en peine de quoi elle ferait un Cocher, </w:t>
      </w:r>
      <w:r w:rsidR="008078FD" w:rsidRPr="005F28C2">
        <w:rPr>
          <w:rFonts w:ascii="Garamond" w:hAnsi="Garamond"/>
          <w:sz w:val="22"/>
        </w:rPr>
        <w:t>« Je vais, dit Cendrillon, s</w:t>
      </w:r>
      <w:r w:rsidR="00547AF4">
        <w:rPr>
          <w:rFonts w:ascii="Garamond" w:hAnsi="Garamond"/>
          <w:sz w:val="22"/>
        </w:rPr>
        <w:t>’</w:t>
      </w:r>
      <w:r w:rsidR="008078FD" w:rsidRPr="005F28C2">
        <w:rPr>
          <w:rFonts w:ascii="Garamond" w:hAnsi="Garamond"/>
          <w:sz w:val="22"/>
        </w:rPr>
        <w:t>il n</w:t>
      </w:r>
      <w:r w:rsidR="00547AF4">
        <w:rPr>
          <w:rFonts w:ascii="Garamond" w:hAnsi="Garamond"/>
          <w:sz w:val="22"/>
        </w:rPr>
        <w:t>’</w:t>
      </w:r>
      <w:r w:rsidR="008078FD" w:rsidRPr="005F28C2">
        <w:rPr>
          <w:rFonts w:ascii="Garamond" w:hAnsi="Garamond"/>
          <w:sz w:val="22"/>
        </w:rPr>
        <w:t xml:space="preserve">y a point quelque rat dans la ratière </w:t>
      </w:r>
      <w:r w:rsidR="005F28C2" w:rsidRPr="005F28C2">
        <w:rPr>
          <w:rFonts w:ascii="Garamond" w:hAnsi="Garamond"/>
          <w:sz w:val="22"/>
        </w:rPr>
        <w:t>[…]</w:t>
      </w:r>
      <w:r w:rsidR="008078FD" w:rsidRPr="005F28C2">
        <w:rPr>
          <w:rFonts w:ascii="Garamond" w:hAnsi="Garamond"/>
          <w:sz w:val="22"/>
        </w:rPr>
        <w:t xml:space="preserve"> – Tu as raison, dit sa Marraine, va voir. »</w:t>
      </w:r>
    </w:p>
    <w:p w14:paraId="6E4876E3" w14:textId="77777777" w:rsidR="008078FD" w:rsidRDefault="008078FD" w:rsidP="00472591">
      <w:pPr>
        <w:tabs>
          <w:tab w:val="left" w:pos="360"/>
        </w:tabs>
        <w:jc w:val="both"/>
        <w:rPr>
          <w:rFonts w:ascii="Garamond" w:hAnsi="Garamond"/>
        </w:rPr>
      </w:pPr>
    </w:p>
    <w:p w14:paraId="6D05D268" w14:textId="77777777" w:rsidR="008078FD" w:rsidRDefault="008078FD" w:rsidP="00472591">
      <w:pPr>
        <w:tabs>
          <w:tab w:val="left" w:pos="360"/>
        </w:tabs>
        <w:jc w:val="both"/>
        <w:rPr>
          <w:rFonts w:ascii="Garamond" w:hAnsi="Garamond"/>
        </w:rPr>
      </w:pPr>
      <w:r>
        <w:rPr>
          <w:rFonts w:ascii="Garamond" w:hAnsi="Garamond"/>
        </w:rPr>
        <w:t>Ces correspondances logiques sont en fait burlesques : le rat choisi l</w:t>
      </w:r>
      <w:r w:rsidR="00547AF4">
        <w:rPr>
          <w:rFonts w:ascii="Garamond" w:hAnsi="Garamond"/>
        </w:rPr>
        <w:t>’</w:t>
      </w:r>
      <w:r>
        <w:rPr>
          <w:rFonts w:ascii="Garamond" w:hAnsi="Garamond"/>
        </w:rPr>
        <w:t xml:space="preserve">a été </w:t>
      </w:r>
      <w:r w:rsidR="00AB6091">
        <w:rPr>
          <w:rFonts w:ascii="Garamond" w:hAnsi="Garamond"/>
        </w:rPr>
        <w:t>à cause de sa « maîtresse barbe </w:t>
      </w:r>
      <w:r>
        <w:rPr>
          <w:rFonts w:ascii="Garamond" w:hAnsi="Garamond"/>
        </w:rPr>
        <w:t>» et il devient un cocher pourvu d</w:t>
      </w:r>
      <w:r w:rsidR="00547AF4">
        <w:rPr>
          <w:rFonts w:ascii="Garamond" w:hAnsi="Garamond"/>
        </w:rPr>
        <w:t>’</w:t>
      </w:r>
      <w:r>
        <w:rPr>
          <w:rFonts w:ascii="Garamond" w:hAnsi="Garamond"/>
        </w:rPr>
        <w:t>« une des plus belles moustaches qu</w:t>
      </w:r>
      <w:r w:rsidR="00547AF4">
        <w:rPr>
          <w:rFonts w:ascii="Garamond" w:hAnsi="Garamond"/>
        </w:rPr>
        <w:t>’</w:t>
      </w:r>
      <w:r>
        <w:rPr>
          <w:rFonts w:ascii="Garamond" w:hAnsi="Garamond"/>
        </w:rPr>
        <w:t>on ait jamais vues ».</w:t>
      </w:r>
    </w:p>
    <w:p w14:paraId="1365C802" w14:textId="77777777" w:rsidR="005F7A63" w:rsidRDefault="008078FD" w:rsidP="00472591">
      <w:pPr>
        <w:tabs>
          <w:tab w:val="left" w:pos="360"/>
        </w:tabs>
        <w:jc w:val="both"/>
        <w:rPr>
          <w:rFonts w:ascii="Garamond" w:hAnsi="Garamond"/>
        </w:rPr>
      </w:pPr>
      <w:r>
        <w:rPr>
          <w:rFonts w:ascii="Garamond" w:hAnsi="Garamond"/>
        </w:rPr>
        <w:tab/>
      </w:r>
      <w:r w:rsidR="005F7A63">
        <w:rPr>
          <w:rFonts w:ascii="Garamond" w:hAnsi="Garamond"/>
        </w:rPr>
        <w:t>Ce caractère burlesque se précise encore avec la transformation des lézards en laquais. Cette métamorphose soi-disant logique repose sur une équivalence qui est, en fait, une plaisanterie sur l</w:t>
      </w:r>
      <w:r w:rsidR="00547AF4">
        <w:rPr>
          <w:rFonts w:ascii="Garamond" w:hAnsi="Garamond"/>
        </w:rPr>
        <w:t>’</w:t>
      </w:r>
      <w:r w:rsidR="005F7A63">
        <w:rPr>
          <w:rFonts w:ascii="Garamond" w:hAnsi="Garamond"/>
        </w:rPr>
        <w:t>indolence des laquais. En filigrane, nous devinons l</w:t>
      </w:r>
      <w:r w:rsidR="00547AF4">
        <w:rPr>
          <w:rFonts w:ascii="Garamond" w:hAnsi="Garamond"/>
        </w:rPr>
        <w:t>’</w:t>
      </w:r>
      <w:r w:rsidR="005F7A63">
        <w:rPr>
          <w:rFonts w:ascii="Garamond" w:hAnsi="Garamond"/>
        </w:rPr>
        <w:t>expression « pa</w:t>
      </w:r>
      <w:r w:rsidR="00AB6091">
        <w:rPr>
          <w:rFonts w:ascii="Garamond" w:hAnsi="Garamond"/>
        </w:rPr>
        <w:t>resseux comme un lézard ». Le « </w:t>
      </w:r>
      <w:r w:rsidR="005F7A63">
        <w:rPr>
          <w:rFonts w:ascii="Garamond" w:hAnsi="Garamond"/>
        </w:rPr>
        <w:t>cartésianisme » de ces traits se trouve non dans les équivalences ahurissantes qu</w:t>
      </w:r>
      <w:r w:rsidR="00547AF4">
        <w:rPr>
          <w:rFonts w:ascii="Garamond" w:hAnsi="Garamond"/>
        </w:rPr>
        <w:t>’</w:t>
      </w:r>
      <w:r w:rsidR="005F7A63">
        <w:rPr>
          <w:rFonts w:ascii="Garamond" w:hAnsi="Garamond"/>
        </w:rPr>
        <w:t>ils établissent, mais dans la volonté burlesque de les considérer comme des principes logiques.</w:t>
      </w:r>
    </w:p>
    <w:p w14:paraId="42B6C1AE" w14:textId="77777777" w:rsidR="009E3F4C" w:rsidRDefault="005F7A63" w:rsidP="00472591">
      <w:pPr>
        <w:tabs>
          <w:tab w:val="left" w:pos="360"/>
        </w:tabs>
        <w:jc w:val="both"/>
        <w:rPr>
          <w:rFonts w:ascii="Garamond" w:hAnsi="Garamond"/>
        </w:rPr>
      </w:pPr>
      <w:r>
        <w:rPr>
          <w:rFonts w:ascii="Garamond" w:hAnsi="Garamond"/>
        </w:rPr>
        <w:tab/>
        <w:t xml:space="preserve">Ne </w:t>
      </w:r>
      <w:r w:rsidR="009E3F4C">
        <w:rPr>
          <w:rFonts w:ascii="Garamond" w:hAnsi="Garamond"/>
        </w:rPr>
        <w:t>quittons pas le secteur de la féerie sans revenir à cette sombre affaire de la pantoufle de verre.</w:t>
      </w:r>
    </w:p>
    <w:p w14:paraId="7830F897" w14:textId="77777777" w:rsidR="009E3F4C" w:rsidRDefault="009E3F4C" w:rsidP="00472591">
      <w:pPr>
        <w:tabs>
          <w:tab w:val="left" w:pos="360"/>
        </w:tabs>
        <w:jc w:val="both"/>
        <w:rPr>
          <w:rFonts w:ascii="Garamond" w:hAnsi="Garamond"/>
        </w:rPr>
      </w:pPr>
      <w:r>
        <w:rPr>
          <w:rFonts w:ascii="Garamond" w:hAnsi="Garamond"/>
        </w:rPr>
        <w:tab/>
        <w:t>En fait, l</w:t>
      </w:r>
      <w:r w:rsidR="00547AF4">
        <w:rPr>
          <w:rFonts w:ascii="Garamond" w:hAnsi="Garamond"/>
        </w:rPr>
        <w:t>’</w:t>
      </w:r>
      <w:r>
        <w:rPr>
          <w:rFonts w:ascii="Garamond" w:hAnsi="Garamond"/>
        </w:rPr>
        <w:t>argument soulevé par Balzac et Littré contre le verre est d</w:t>
      </w:r>
      <w:r w:rsidR="00547AF4">
        <w:rPr>
          <w:rFonts w:ascii="Garamond" w:hAnsi="Garamond"/>
        </w:rPr>
        <w:t>’</w:t>
      </w:r>
      <w:r>
        <w:rPr>
          <w:rFonts w:ascii="Garamond" w:hAnsi="Garamond"/>
        </w:rPr>
        <w:t xml:space="preserve">ordre </w:t>
      </w:r>
      <w:r>
        <w:rPr>
          <w:rFonts w:ascii="Garamond" w:hAnsi="Garamond"/>
          <w:i/>
        </w:rPr>
        <w:t>logique</w:t>
      </w:r>
      <w:r>
        <w:rPr>
          <w:rFonts w:ascii="Garamond" w:hAnsi="Garamond"/>
        </w:rPr>
        <w:t>. Si la pantoufle de Cendrillon est en verre, elle doit infailliblement se casser au moment où la jeune fille la laisse tomber, éventualité qui est jugée absurde.</w:t>
      </w:r>
    </w:p>
    <w:p w14:paraId="09BDA488" w14:textId="77777777" w:rsidR="005F28C2" w:rsidRDefault="009E3F4C" w:rsidP="00472591">
      <w:pPr>
        <w:tabs>
          <w:tab w:val="left" w:pos="360"/>
        </w:tabs>
        <w:jc w:val="both"/>
        <w:rPr>
          <w:rFonts w:ascii="Garamond" w:hAnsi="Garamond"/>
        </w:rPr>
      </w:pPr>
      <w:r>
        <w:rPr>
          <w:rFonts w:ascii="Garamond" w:hAnsi="Garamond"/>
        </w:rPr>
        <w:tab/>
        <w:t xml:space="preserve">La réponse à cette objection semble facile. Quand on sait transformer une citrouille en carrosse, on peut aussi fabriquer une pantoufle de verre qui ne casse pas. </w:t>
      </w:r>
      <w:r w:rsidR="005F28C2">
        <w:rPr>
          <w:rFonts w:ascii="Garamond" w:hAnsi="Garamond"/>
        </w:rPr>
        <w:t>Au demeurant, l</w:t>
      </w:r>
      <w:r w:rsidR="00547AF4">
        <w:rPr>
          <w:rFonts w:ascii="Garamond" w:hAnsi="Garamond"/>
        </w:rPr>
        <w:t>’</w:t>
      </w:r>
      <w:r w:rsidR="005F28C2">
        <w:rPr>
          <w:rFonts w:ascii="Garamond" w:hAnsi="Garamond"/>
        </w:rPr>
        <w:t>édition originale porte « pantoufle de verre » et on peut difficilement admettre une faute qui serait répétée trois fois dans le texte et une dans le titre.</w:t>
      </w:r>
    </w:p>
    <w:p w14:paraId="4B5DA9A2" w14:textId="77777777" w:rsidR="005F28C2" w:rsidRDefault="005F28C2" w:rsidP="00472591">
      <w:pPr>
        <w:tabs>
          <w:tab w:val="left" w:pos="360"/>
        </w:tabs>
        <w:jc w:val="both"/>
        <w:rPr>
          <w:rFonts w:ascii="Garamond" w:hAnsi="Garamond"/>
        </w:rPr>
      </w:pPr>
      <w:r>
        <w:rPr>
          <w:rFonts w:ascii="Garamond" w:hAnsi="Garamond"/>
        </w:rPr>
        <w:tab/>
        <w:t>Pourtant, n</w:t>
      </w:r>
      <w:r w:rsidR="00547AF4">
        <w:rPr>
          <w:rFonts w:ascii="Garamond" w:hAnsi="Garamond"/>
        </w:rPr>
        <w:t>’</w:t>
      </w:r>
      <w:r>
        <w:rPr>
          <w:rFonts w:ascii="Garamond" w:hAnsi="Garamond"/>
        </w:rPr>
        <w:t>est-il pas possible d</w:t>
      </w:r>
      <w:r w:rsidR="00547AF4">
        <w:rPr>
          <w:rFonts w:ascii="Garamond" w:hAnsi="Garamond"/>
        </w:rPr>
        <w:t>’</w:t>
      </w:r>
      <w:r>
        <w:rPr>
          <w:rFonts w:ascii="Garamond" w:hAnsi="Garamond"/>
        </w:rPr>
        <w:t>aller plus loin ?</w:t>
      </w:r>
    </w:p>
    <w:p w14:paraId="6341767A" w14:textId="77777777" w:rsidR="005F28C2" w:rsidRDefault="005F28C2" w:rsidP="00472591">
      <w:pPr>
        <w:tabs>
          <w:tab w:val="left" w:pos="360"/>
        </w:tabs>
        <w:jc w:val="both"/>
        <w:rPr>
          <w:rFonts w:ascii="Garamond" w:hAnsi="Garamond"/>
        </w:rPr>
      </w:pPr>
      <w:r>
        <w:rPr>
          <w:rFonts w:ascii="Garamond" w:hAnsi="Garamond"/>
        </w:rPr>
        <w:tab/>
        <w:t>Pourquoi, par exemple, ne pas inverser l</w:t>
      </w:r>
      <w:r w:rsidR="00547AF4">
        <w:rPr>
          <w:rFonts w:ascii="Garamond" w:hAnsi="Garamond"/>
        </w:rPr>
        <w:t>’</w:t>
      </w:r>
      <w:r>
        <w:rPr>
          <w:rFonts w:ascii="Garamond" w:hAnsi="Garamond"/>
        </w:rPr>
        <w:t>argument de Balzac ? Une pantoufle de verre, c</w:t>
      </w:r>
      <w:r w:rsidR="00547AF4">
        <w:rPr>
          <w:rFonts w:ascii="Garamond" w:hAnsi="Garamond"/>
        </w:rPr>
        <w:t>’</w:t>
      </w:r>
      <w:r>
        <w:rPr>
          <w:rFonts w:ascii="Garamond" w:hAnsi="Garamond"/>
        </w:rPr>
        <w:t>est vrai, est une pure absurdité. Mais le détail n</w:t>
      </w:r>
      <w:r w:rsidR="00547AF4">
        <w:rPr>
          <w:rFonts w:ascii="Garamond" w:hAnsi="Garamond"/>
        </w:rPr>
        <w:t>’</w:t>
      </w:r>
      <w:r>
        <w:rPr>
          <w:rFonts w:ascii="Garamond" w:hAnsi="Garamond"/>
        </w:rPr>
        <w:t xml:space="preserve">est-il pas choisi justement </w:t>
      </w:r>
      <w:r>
        <w:rPr>
          <w:rFonts w:ascii="Garamond" w:hAnsi="Garamond"/>
          <w:i/>
        </w:rPr>
        <w:t>à cause</w:t>
      </w:r>
      <w:r>
        <w:rPr>
          <w:rFonts w:ascii="Garamond" w:hAnsi="Garamond"/>
        </w:rPr>
        <w:t xml:space="preserve"> de cette absurdité ? Ne pourrait-il pas s</w:t>
      </w:r>
      <w:r w:rsidR="00547AF4">
        <w:rPr>
          <w:rFonts w:ascii="Garamond" w:hAnsi="Garamond"/>
        </w:rPr>
        <w:t>’</w:t>
      </w:r>
      <w:r>
        <w:rPr>
          <w:rFonts w:ascii="Garamond" w:hAnsi="Garamond"/>
        </w:rPr>
        <w:t>agir d</w:t>
      </w:r>
      <w:r w:rsidR="00547AF4">
        <w:rPr>
          <w:rFonts w:ascii="Garamond" w:hAnsi="Garamond"/>
        </w:rPr>
        <w:t>’</w:t>
      </w:r>
      <w:r>
        <w:rPr>
          <w:rFonts w:ascii="Garamond" w:hAnsi="Garamond"/>
        </w:rPr>
        <w:t>une de ces impossibilités délibérées qui caractérisent les « menteries » ?</w:t>
      </w:r>
    </w:p>
    <w:p w14:paraId="616B2339" w14:textId="77777777" w:rsidR="005F28C2" w:rsidRDefault="005F28C2" w:rsidP="00472591">
      <w:pPr>
        <w:tabs>
          <w:tab w:val="left" w:pos="360"/>
        </w:tabs>
        <w:jc w:val="both"/>
        <w:rPr>
          <w:rFonts w:ascii="Garamond" w:hAnsi="Garamond"/>
        </w:rPr>
      </w:pPr>
    </w:p>
    <w:p w14:paraId="66333A0A" w14:textId="77777777" w:rsidR="005F28C2" w:rsidRPr="005F28C2" w:rsidRDefault="005F28C2" w:rsidP="005F28C2">
      <w:pPr>
        <w:tabs>
          <w:tab w:val="left" w:pos="360"/>
        </w:tabs>
        <w:ind w:left="720"/>
        <w:jc w:val="both"/>
        <w:rPr>
          <w:rFonts w:ascii="Garamond" w:hAnsi="Garamond"/>
          <w:sz w:val="22"/>
        </w:rPr>
      </w:pPr>
      <w:r w:rsidRPr="005F28C2">
        <w:rPr>
          <w:rFonts w:ascii="Garamond" w:hAnsi="Garamond"/>
          <w:sz w:val="22"/>
        </w:rPr>
        <w:t>Armés de fusils sans briquet, sans canon et sans crosse, nous allâmes à la chasse au lièvre qui n</w:t>
      </w:r>
      <w:r w:rsidR="00547AF4">
        <w:rPr>
          <w:rFonts w:ascii="Garamond" w:hAnsi="Garamond"/>
          <w:sz w:val="22"/>
        </w:rPr>
        <w:t>’</w:t>
      </w:r>
      <w:r w:rsidRPr="005F28C2">
        <w:rPr>
          <w:rFonts w:ascii="Garamond" w:hAnsi="Garamond"/>
          <w:sz w:val="22"/>
        </w:rPr>
        <w:t>est pas encore né, sous le buisson qui n</w:t>
      </w:r>
      <w:r w:rsidR="00547AF4">
        <w:rPr>
          <w:rFonts w:ascii="Garamond" w:hAnsi="Garamond"/>
          <w:sz w:val="22"/>
        </w:rPr>
        <w:t>’</w:t>
      </w:r>
      <w:r w:rsidRPr="005F28C2">
        <w:rPr>
          <w:rFonts w:ascii="Garamond" w:hAnsi="Garamond"/>
          <w:sz w:val="22"/>
        </w:rPr>
        <w:t>a pas encore poussé […]. Nous fîmes feu [</w:t>
      </w:r>
      <w:r w:rsidRPr="005F28C2">
        <w:rPr>
          <w:rFonts w:ascii="Garamond" w:hAnsi="Garamond"/>
          <w:i/>
          <w:sz w:val="22"/>
        </w:rPr>
        <w:t>sur les canards sauvages</w:t>
      </w:r>
      <w:r w:rsidRPr="005F28C2">
        <w:rPr>
          <w:rFonts w:ascii="Garamond" w:hAnsi="Garamond"/>
          <w:sz w:val="22"/>
        </w:rPr>
        <w:t>] avec nos fusils sans briquet, sans canon et sans crosse. Les canards dégringolèrent. [</w:t>
      </w:r>
      <w:r w:rsidRPr="005F28C2">
        <w:rPr>
          <w:rFonts w:ascii="Garamond" w:hAnsi="Garamond"/>
          <w:i/>
          <w:sz w:val="22"/>
        </w:rPr>
        <w:t>Mon ami</w:t>
      </w:r>
      <w:r w:rsidRPr="005F28C2">
        <w:rPr>
          <w:rFonts w:ascii="Garamond" w:hAnsi="Garamond"/>
          <w:sz w:val="22"/>
        </w:rPr>
        <w:t>] aveugle le chercha.</w:t>
      </w:r>
    </w:p>
    <w:p w14:paraId="564686E5" w14:textId="77777777" w:rsidR="005F28C2" w:rsidRDefault="005F28C2" w:rsidP="00472591">
      <w:pPr>
        <w:tabs>
          <w:tab w:val="left" w:pos="360"/>
        </w:tabs>
        <w:jc w:val="both"/>
        <w:rPr>
          <w:rFonts w:ascii="Garamond" w:hAnsi="Garamond"/>
        </w:rPr>
      </w:pPr>
    </w:p>
    <w:p w14:paraId="0159872E" w14:textId="7D865A97" w:rsidR="009B3C8B" w:rsidRPr="009B3C8B" w:rsidRDefault="009E3F4C" w:rsidP="009B3C8B">
      <w:pPr>
        <w:tabs>
          <w:tab w:val="left" w:pos="360"/>
        </w:tabs>
        <w:jc w:val="both"/>
        <w:rPr>
          <w:rFonts w:ascii="Garamond" w:hAnsi="Garamond"/>
        </w:rPr>
      </w:pPr>
      <w:r>
        <w:rPr>
          <w:rFonts w:ascii="Garamond" w:hAnsi="Garamond"/>
        </w:rPr>
        <w:t>En fait, cette « pantoufle de verre » qui semble bien appartenir à Perrault est une invention très subtile : elle laisse traîner une atmosphère</w:t>
      </w:r>
      <w:r w:rsidR="005F28C2">
        <w:rPr>
          <w:rFonts w:ascii="Garamond" w:hAnsi="Garamond"/>
        </w:rPr>
        <w:t xml:space="preserve"> d</w:t>
      </w:r>
      <w:r w:rsidR="00547AF4">
        <w:rPr>
          <w:rFonts w:ascii="Garamond" w:hAnsi="Garamond"/>
        </w:rPr>
        <w:t>’</w:t>
      </w:r>
      <w:r w:rsidR="005F28C2">
        <w:rPr>
          <w:rFonts w:ascii="Garamond" w:hAnsi="Garamond"/>
        </w:rPr>
        <w:t>ironie légère dans tout le conte : à lui seul, ce détail suffit à faire contrepoids à la débauche de féerie à laquelle nous sommes conviés. […]</w:t>
      </w:r>
    </w:p>
    <w:p w14:paraId="051DEBC9" w14:textId="29D02C54" w:rsidR="00A92B9E" w:rsidRPr="00D001B1" w:rsidRDefault="00A92B9E" w:rsidP="00472591">
      <w:pPr>
        <w:tabs>
          <w:tab w:val="left" w:pos="360"/>
        </w:tabs>
        <w:jc w:val="both"/>
        <w:rPr>
          <w:rFonts w:ascii="Garamond" w:hAnsi="Garamond"/>
          <w:u w:val="single"/>
        </w:rPr>
      </w:pPr>
    </w:p>
    <w:sectPr w:rsidR="00A92B9E" w:rsidRPr="00D001B1" w:rsidSect="00C24764">
      <w:headerReference w:type="even" r:id="rId6"/>
      <w:headerReference w:type="default" r:id="rId7"/>
      <w:footerReference w:type="even" r:id="rId8"/>
      <w:footerReference w:type="default" r:id="rId9"/>
      <w:headerReference w:type="first" r:id="rId10"/>
      <w:footerReference w:type="first" r:id="rId11"/>
      <w:pgSz w:w="11894" w:h="16834"/>
      <w:pgMar w:top="1008" w:right="1296"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F239A" w14:textId="77777777" w:rsidR="00F551C0" w:rsidRDefault="00F551C0">
      <w:r>
        <w:separator/>
      </w:r>
    </w:p>
  </w:endnote>
  <w:endnote w:type="continuationSeparator" w:id="0">
    <w:p w14:paraId="79AB8CDA" w14:textId="77777777" w:rsidR="00F551C0" w:rsidRDefault="00F5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CBEF" w14:textId="77777777" w:rsidR="009E3F4C" w:rsidRDefault="00883E14" w:rsidP="002307E6">
    <w:pPr>
      <w:pStyle w:val="Footer"/>
      <w:framePr w:wrap="around" w:vAnchor="text" w:hAnchor="margin" w:xAlign="center" w:y="1"/>
      <w:rPr>
        <w:rStyle w:val="PageNumber"/>
      </w:rPr>
    </w:pPr>
    <w:r>
      <w:rPr>
        <w:rStyle w:val="PageNumber"/>
      </w:rPr>
      <w:fldChar w:fldCharType="begin"/>
    </w:r>
    <w:r w:rsidR="009E3F4C">
      <w:rPr>
        <w:rStyle w:val="PageNumber"/>
      </w:rPr>
      <w:instrText xml:space="preserve">PAGE  </w:instrText>
    </w:r>
    <w:r>
      <w:rPr>
        <w:rStyle w:val="PageNumber"/>
      </w:rPr>
      <w:fldChar w:fldCharType="end"/>
    </w:r>
  </w:p>
  <w:p w14:paraId="178E7AC0" w14:textId="77777777" w:rsidR="009E3F4C" w:rsidRDefault="009E3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546C" w14:textId="77777777" w:rsidR="009E3F4C" w:rsidRDefault="00883E14" w:rsidP="008D547A">
    <w:pPr>
      <w:pStyle w:val="Footer"/>
      <w:framePr w:wrap="around" w:vAnchor="text" w:hAnchor="page" w:x="6121" w:y="-72"/>
      <w:rPr>
        <w:rStyle w:val="PageNumber"/>
      </w:rPr>
    </w:pPr>
    <w:r>
      <w:rPr>
        <w:rStyle w:val="PageNumber"/>
      </w:rPr>
      <w:fldChar w:fldCharType="begin"/>
    </w:r>
    <w:r w:rsidR="009E3F4C">
      <w:rPr>
        <w:rStyle w:val="PageNumber"/>
      </w:rPr>
      <w:instrText xml:space="preserve">PAGE  </w:instrText>
    </w:r>
    <w:r>
      <w:rPr>
        <w:rStyle w:val="PageNumber"/>
      </w:rPr>
      <w:fldChar w:fldCharType="separate"/>
    </w:r>
    <w:r w:rsidR="00C24764">
      <w:rPr>
        <w:rStyle w:val="PageNumber"/>
        <w:noProof/>
      </w:rPr>
      <w:t>1</w:t>
    </w:r>
    <w:r>
      <w:rPr>
        <w:rStyle w:val="PageNumber"/>
      </w:rPr>
      <w:fldChar w:fldCharType="end"/>
    </w:r>
  </w:p>
  <w:p w14:paraId="0D978A28" w14:textId="77777777" w:rsidR="009E3F4C" w:rsidRDefault="009E3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50D2" w14:textId="77777777" w:rsidR="008D547A" w:rsidRDefault="008D5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EC92" w14:textId="77777777" w:rsidR="00F551C0" w:rsidRDefault="00F551C0">
      <w:r>
        <w:separator/>
      </w:r>
    </w:p>
  </w:footnote>
  <w:footnote w:type="continuationSeparator" w:id="0">
    <w:p w14:paraId="3DA104C9" w14:textId="77777777" w:rsidR="00F551C0" w:rsidRDefault="00F5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3217A" w14:textId="77777777" w:rsidR="008D547A" w:rsidRDefault="008D5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45FB" w14:textId="77777777" w:rsidR="008D547A" w:rsidRDefault="008D5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C360F" w14:textId="77777777" w:rsidR="008D547A" w:rsidRDefault="008D54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FF4527"/>
    <w:rsid w:val="000E19B9"/>
    <w:rsid w:val="0016414C"/>
    <w:rsid w:val="002307E6"/>
    <w:rsid w:val="002F303E"/>
    <w:rsid w:val="003B52B5"/>
    <w:rsid w:val="003C2ABC"/>
    <w:rsid w:val="00412790"/>
    <w:rsid w:val="00472591"/>
    <w:rsid w:val="00547AF4"/>
    <w:rsid w:val="005C570A"/>
    <w:rsid w:val="005F28C2"/>
    <w:rsid w:val="005F7A63"/>
    <w:rsid w:val="00625CF1"/>
    <w:rsid w:val="00652E0A"/>
    <w:rsid w:val="006C0F3C"/>
    <w:rsid w:val="006C57FA"/>
    <w:rsid w:val="008078FD"/>
    <w:rsid w:val="00860EB6"/>
    <w:rsid w:val="00883E14"/>
    <w:rsid w:val="008A45E9"/>
    <w:rsid w:val="008D547A"/>
    <w:rsid w:val="009A21F3"/>
    <w:rsid w:val="009B3C8B"/>
    <w:rsid w:val="009E3F4C"/>
    <w:rsid w:val="009E7663"/>
    <w:rsid w:val="00A56A34"/>
    <w:rsid w:val="00A9169B"/>
    <w:rsid w:val="00A92B9E"/>
    <w:rsid w:val="00AB05CF"/>
    <w:rsid w:val="00AB6091"/>
    <w:rsid w:val="00AC30D4"/>
    <w:rsid w:val="00B775C5"/>
    <w:rsid w:val="00C24764"/>
    <w:rsid w:val="00D001B1"/>
    <w:rsid w:val="00DC4DF2"/>
    <w:rsid w:val="00DD27E7"/>
    <w:rsid w:val="00F551C0"/>
    <w:rsid w:val="00FF452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DC42FF"/>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570A"/>
    <w:pPr>
      <w:tabs>
        <w:tab w:val="center" w:pos="4320"/>
        <w:tab w:val="right" w:pos="8640"/>
      </w:tabs>
    </w:pPr>
  </w:style>
  <w:style w:type="character" w:customStyle="1" w:styleId="FooterChar">
    <w:name w:val="Footer Char"/>
    <w:basedOn w:val="DefaultParagraphFont"/>
    <w:link w:val="Footer"/>
    <w:uiPriority w:val="99"/>
    <w:rsid w:val="005C570A"/>
  </w:style>
  <w:style w:type="character" w:styleId="PageNumber">
    <w:name w:val="page number"/>
    <w:basedOn w:val="DefaultParagraphFont"/>
    <w:uiPriority w:val="99"/>
    <w:semiHidden/>
    <w:unhideWhenUsed/>
    <w:rsid w:val="005C570A"/>
  </w:style>
  <w:style w:type="paragraph" w:styleId="Header">
    <w:name w:val="header"/>
    <w:basedOn w:val="Normal"/>
    <w:link w:val="HeaderChar"/>
    <w:uiPriority w:val="99"/>
    <w:unhideWhenUsed/>
    <w:rsid w:val="008D547A"/>
    <w:pPr>
      <w:tabs>
        <w:tab w:val="center" w:pos="4320"/>
        <w:tab w:val="right" w:pos="8640"/>
      </w:tabs>
    </w:pPr>
  </w:style>
  <w:style w:type="character" w:customStyle="1" w:styleId="HeaderChar">
    <w:name w:val="Header Char"/>
    <w:basedOn w:val="DefaultParagraphFont"/>
    <w:link w:val="Header"/>
    <w:uiPriority w:val="99"/>
    <w:rsid w:val="008D5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2</Pages>
  <Words>1152</Words>
  <Characters>6568</Characters>
  <Application>Microsoft Office Word</Application>
  <DocSecurity>0</DocSecurity>
  <Lines>54</Lines>
  <Paragraphs>15</Paragraphs>
  <ScaleCrop>false</ScaleCrop>
  <Company>Bryn Mawr College</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26</cp:revision>
  <cp:lastPrinted>2011-06-26T23:04:00Z</cp:lastPrinted>
  <dcterms:created xsi:type="dcterms:W3CDTF">2011-06-17T10:46:00Z</dcterms:created>
  <dcterms:modified xsi:type="dcterms:W3CDTF">2023-09-05T14:37:00Z</dcterms:modified>
</cp:coreProperties>
</file>