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Atiya Patel</w:t>
      </w:r>
    </w:p>
    <w:p w:rsidR="00000000" w:rsidDel="00000000" w:rsidP="00000000" w:rsidRDefault="00000000" w:rsidRPr="00000000" w14:paraId="0000000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 Kale</w:t>
      </w:r>
    </w:p>
    <w:p w:rsidR="00000000" w:rsidDel="00000000" w:rsidP="00000000" w:rsidRDefault="00000000" w:rsidRPr="00000000" w14:paraId="0000000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HIST258</w:t>
      </w:r>
    </w:p>
    <w:p w:rsidR="00000000" w:rsidDel="00000000" w:rsidP="00000000" w:rsidRDefault="00000000" w:rsidRPr="00000000" w14:paraId="0000000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8th September 2026</w:t>
      </w:r>
    </w:p>
    <w:p w:rsidR="00000000" w:rsidDel="00000000" w:rsidP="00000000" w:rsidRDefault="00000000" w:rsidRPr="00000000" w14:paraId="00000005">
      <w:pPr>
        <w:spacing w:line="48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Abu-Lughod’s excerpt on the Indian Ocean system discusses how it was divided into three sections broadly: the western most being Muslim-dominated, the middle being “Hinduized” and the easternmost being Chinese-dominated with the primary religions being Buddhism and Confucianism. I found it interesting to learn that these regions were not divided by cultural differences but rather by wind patterns and similar natural circumstances. Abu-Lughod mentions how at large ports, traders from all three regions would mingle and create a cultural exchange. This made me think back to a previous reading that mentioned how people in port cities in different regions often had more in common with each other than they did with their countrymen inland. All this discussion of ports helped me gauge how cultures spread with trade and that trade routes were not only for the exchange of goods but also culture, cuisine, language, religion and migrants. Furthermore, this excerpt discusses how India plays an integral role in these trade routes as the subcontinent worked as “both a natural link and a divider.” This excerpt was very useful in helping me understand the centrality of the Indian subcontinent to trade throughout history. </w:t>
      </w:r>
    </w:p>
    <w:p w:rsidR="00000000" w:rsidDel="00000000" w:rsidP="00000000" w:rsidRDefault="00000000" w:rsidRPr="00000000" w14:paraId="00000006">
      <w:pPr>
        <w:spacing w:line="48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Ludden article was very interesting for the way it discussed maps beyond the two-dimensional form in which they are usually seen. The way a map is drawn, the borders it chooses to draw, the names it uses, etc. are generally representative of vested interests, ideologies or histories. Ludden looks at maps in an academic context: who studies which part of the map? Former empires from the Global North often focus on their own former colonies or imperial domains academically. For me, Ludden’s text highlights the impact and importance of human mobility in history and the ways in which we need to think more about the maps that we study, not simply as representations of land but also as stories in themselves. </w:t>
      </w:r>
    </w:p>
    <w:p w:rsidR="00000000" w:rsidDel="00000000" w:rsidP="00000000" w:rsidRDefault="00000000" w:rsidRPr="00000000" w14:paraId="00000007">
      <w:pPr>
        <w:spacing w:line="480" w:lineRule="auto"/>
        <w:ind w:left="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48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Unfamiliar Terminology:</w:t>
      </w:r>
    </w:p>
    <w:p w:rsidR="00000000" w:rsidDel="00000000" w:rsidP="00000000" w:rsidRDefault="00000000" w:rsidRPr="00000000" w14:paraId="00000009">
      <w:pPr>
        <w:numPr>
          <w:ilvl w:val="0"/>
          <w:numId w:val="1"/>
        </w:numPr>
        <w:spacing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Port Emporia</w:t>
      </w:r>
    </w:p>
    <w:p w:rsidR="00000000" w:rsidDel="00000000" w:rsidP="00000000" w:rsidRDefault="00000000" w:rsidRPr="00000000" w14:paraId="0000000A">
      <w:pPr>
        <w:numPr>
          <w:ilvl w:val="0"/>
          <w:numId w:val="1"/>
        </w:numPr>
        <w:spacing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Riverine</w:t>
      </w:r>
    </w:p>
    <w:p w:rsidR="00000000" w:rsidDel="00000000" w:rsidP="00000000" w:rsidRDefault="00000000" w:rsidRPr="00000000" w14:paraId="0000000B">
      <w:pPr>
        <w:numPr>
          <w:ilvl w:val="0"/>
          <w:numId w:val="1"/>
        </w:numPr>
        <w:spacing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Laissez-faire</w:t>
      </w:r>
    </w:p>
    <w:p w:rsidR="00000000" w:rsidDel="00000000" w:rsidP="00000000" w:rsidRDefault="00000000" w:rsidRPr="00000000" w14:paraId="0000000C">
      <w:pPr>
        <w:numPr>
          <w:ilvl w:val="0"/>
          <w:numId w:val="1"/>
        </w:numPr>
        <w:spacing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Coromandel</w:t>
      </w:r>
    </w:p>
    <w:p w:rsidR="00000000" w:rsidDel="00000000" w:rsidP="00000000" w:rsidRDefault="00000000" w:rsidRPr="00000000" w14:paraId="0000000D">
      <w:pPr>
        <w:numPr>
          <w:ilvl w:val="0"/>
          <w:numId w:val="1"/>
        </w:numPr>
        <w:spacing w:line="48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Territorial anachronism</w:t>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i w:val="1"/>
      <w:iCs w:val="1"/>
      <w:sz w:val="32"/>
      <w:szCs w:val="32"/>
    </w:rPr>
  </w:style>
  <w:style w:type="paragraph" w:styleId="Heading2">
    <w:name w:val="heading 2"/>
    <w:basedOn w:val="Normal"/>
    <w:next w:val="Normal"/>
    <w:pPr>
      <w:keepNext w:val="1"/>
      <w:keepLines w:val="1"/>
      <w:jc w:val="center"/>
    </w:pPr>
    <w:rPr>
      <w:i w:val="1"/>
      <w:iCs w:val="1"/>
      <w:sz w:val="28"/>
      <w:szCs w:val="28"/>
    </w:rPr>
  </w:style>
  <w:style w:type="paragraph" w:styleId="Heading3">
    <w:name w:val="heading 3"/>
    <w:basedOn w:val="Normal"/>
    <w:next w:val="Normal"/>
    <w:pPr>
      <w:keepNext w:val="1"/>
      <w:keepLines w:val="1"/>
      <w:jc w:val="center"/>
    </w:pPr>
    <w:rPr>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