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8D886B" w14:textId="77777777" w:rsidR="009E22C7" w:rsidRPr="00183951" w:rsidRDefault="009E22C7" w:rsidP="009E22C7">
      <w:pPr>
        <w:spacing w:line="480" w:lineRule="auto"/>
        <w:rPr>
          <w:rFonts w:ascii="Times New Roman" w:hAnsi="Times New Roman" w:cs="Times New Roman"/>
          <w:lang w:val="en-US"/>
        </w:rPr>
      </w:pPr>
      <w:r w:rsidRPr="00183951">
        <w:rPr>
          <w:rFonts w:ascii="Times New Roman" w:hAnsi="Times New Roman" w:cs="Times New Roman"/>
          <w:lang w:val="en-US"/>
        </w:rPr>
        <w:t>Terri Jin</w:t>
      </w:r>
    </w:p>
    <w:p w14:paraId="48B74E4E" w14:textId="77777777" w:rsidR="009E22C7" w:rsidRPr="00183951" w:rsidRDefault="009E22C7" w:rsidP="009E22C7">
      <w:pPr>
        <w:spacing w:line="480" w:lineRule="auto"/>
        <w:rPr>
          <w:rFonts w:ascii="Times New Roman" w:hAnsi="Times New Roman" w:cs="Times New Roman"/>
          <w:lang w:val="en-US"/>
        </w:rPr>
      </w:pPr>
      <w:r w:rsidRPr="00183951">
        <w:rPr>
          <w:rFonts w:ascii="Times New Roman" w:hAnsi="Times New Roman" w:cs="Times New Roman"/>
          <w:lang w:val="en-US"/>
        </w:rPr>
        <w:t>Prof. Kale</w:t>
      </w:r>
    </w:p>
    <w:p w14:paraId="3B43F395" w14:textId="77777777" w:rsidR="009E22C7" w:rsidRPr="00183951" w:rsidRDefault="009E22C7" w:rsidP="009E22C7">
      <w:pPr>
        <w:spacing w:line="480" w:lineRule="auto"/>
        <w:rPr>
          <w:rFonts w:ascii="Times New Roman" w:hAnsi="Times New Roman" w:cs="Times New Roman"/>
          <w:lang w:val="en-US"/>
        </w:rPr>
      </w:pPr>
      <w:r w:rsidRPr="00183951">
        <w:rPr>
          <w:rFonts w:ascii="Times New Roman" w:hAnsi="Times New Roman" w:cs="Times New Roman"/>
          <w:lang w:val="en-US"/>
        </w:rPr>
        <w:t>HIST B</w:t>
      </w:r>
      <w:r>
        <w:rPr>
          <w:rFonts w:ascii="Times New Roman" w:hAnsi="Times New Roman" w:cs="Times New Roman"/>
          <w:lang w:val="en-US"/>
        </w:rPr>
        <w:t>258</w:t>
      </w:r>
    </w:p>
    <w:p w14:paraId="38E46E86" w14:textId="77777777" w:rsidR="009E22C7" w:rsidRDefault="009E22C7" w:rsidP="009E22C7">
      <w:pPr>
        <w:tabs>
          <w:tab w:val="left" w:pos="1373"/>
        </w:tabs>
        <w:spacing w:line="480" w:lineRule="auto"/>
        <w:rPr>
          <w:rFonts w:ascii="Times New Roman" w:hAnsi="Times New Roman" w:cs="Times New Roman"/>
          <w:lang w:val="en-US"/>
        </w:rPr>
      </w:pPr>
      <w:r>
        <w:rPr>
          <w:rFonts w:ascii="Times New Roman" w:hAnsi="Times New Roman" w:cs="Times New Roman"/>
          <w:lang w:val="en-US"/>
        </w:rPr>
        <w:t>FOR 09.08.26</w:t>
      </w:r>
    </w:p>
    <w:p w14:paraId="7DE67082" w14:textId="40C30ACA" w:rsidR="009E22C7" w:rsidRPr="009E22C7" w:rsidRDefault="009E22C7" w:rsidP="009E22C7">
      <w:pPr>
        <w:spacing w:line="480" w:lineRule="auto"/>
        <w:jc w:val="center"/>
        <w:rPr>
          <w:rFonts w:ascii="Times New Roman" w:hAnsi="Times New Roman" w:cs="Times New Roman"/>
          <w:b/>
          <w:bCs/>
          <w:lang w:val="en-US"/>
        </w:rPr>
      </w:pPr>
      <w:r w:rsidRPr="00F773AD">
        <w:rPr>
          <w:rFonts w:ascii="Times New Roman" w:hAnsi="Times New Roman" w:cs="Times New Roman"/>
          <w:b/>
          <w:bCs/>
          <w:lang w:val="en-US"/>
        </w:rPr>
        <w:t>Takeaway 1</w:t>
      </w:r>
    </w:p>
    <w:p w14:paraId="680A828A" w14:textId="53D718FC" w:rsidR="00362C0E" w:rsidRPr="009E22C7" w:rsidRDefault="00B25A5F" w:rsidP="009E22C7">
      <w:pPr>
        <w:spacing w:line="480" w:lineRule="auto"/>
        <w:jc w:val="center"/>
        <w:rPr>
          <w:rFonts w:ascii="Times New Roman" w:hAnsi="Times New Roman" w:cs="Times New Roman"/>
          <w:u w:val="single"/>
        </w:rPr>
      </w:pPr>
      <w:r w:rsidRPr="009E22C7">
        <w:rPr>
          <w:rFonts w:ascii="Times New Roman" w:hAnsi="Times New Roman" w:cs="Times New Roman"/>
          <w:u w:val="single"/>
        </w:rPr>
        <w:t>Vocab, Concepts, &amp;c</w:t>
      </w:r>
    </w:p>
    <w:p w14:paraId="0E799614" w14:textId="4190CC75" w:rsidR="00B25A5F" w:rsidRPr="009E22C7" w:rsidRDefault="00B25A5F" w:rsidP="009E22C7">
      <w:pPr>
        <w:spacing w:line="480" w:lineRule="auto"/>
        <w:rPr>
          <w:rFonts w:ascii="Times New Roman" w:hAnsi="Times New Roman" w:cs="Times New Roman"/>
        </w:rPr>
      </w:pPr>
      <w:r w:rsidRPr="009E22C7">
        <w:rPr>
          <w:rFonts w:ascii="Times New Roman" w:hAnsi="Times New Roman" w:cs="Times New Roman"/>
        </w:rPr>
        <w:t>Wollstonecraft</w:t>
      </w:r>
    </w:p>
    <w:p w14:paraId="0B5D2251" w14:textId="4C9F1A54"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Solicitude: thoughtful, meticulous, concern</w:t>
      </w:r>
    </w:p>
    <w:p w14:paraId="5AED898E" w14:textId="52B385BB" w:rsidR="00B25A5F" w:rsidRPr="009E22C7" w:rsidRDefault="00B25A5F" w:rsidP="009E22C7">
      <w:pPr>
        <w:pStyle w:val="ListParagraph"/>
        <w:numPr>
          <w:ilvl w:val="0"/>
          <w:numId w:val="4"/>
        </w:numPr>
        <w:spacing w:line="480" w:lineRule="auto"/>
        <w:rPr>
          <w:rFonts w:ascii="Times New Roman" w:hAnsi="Times New Roman" w:cs="Times New Roman"/>
        </w:rPr>
      </w:pPr>
      <w:proofErr w:type="spellStart"/>
      <w:r w:rsidRPr="009E22C7">
        <w:rPr>
          <w:rFonts w:ascii="Times New Roman" w:hAnsi="Times New Roman" w:cs="Times New Roman"/>
        </w:rPr>
        <w:t>Mahometanism</w:t>
      </w:r>
      <w:proofErr w:type="spellEnd"/>
      <w:r w:rsidRPr="009E22C7">
        <w:rPr>
          <w:rFonts w:ascii="Times New Roman" w:hAnsi="Times New Roman" w:cs="Times New Roman"/>
        </w:rPr>
        <w:t>: Islam</w:t>
      </w:r>
    </w:p>
    <w:p w14:paraId="28FDB5F2" w14:textId="069DB1A0"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Abrogate: abolish, annul</w:t>
      </w:r>
    </w:p>
    <w:p w14:paraId="180A1BE2" w14:textId="3FC3E684"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Appellation: designation</w:t>
      </w:r>
    </w:p>
    <w:p w14:paraId="188FF5DE" w14:textId="3C7423A4"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Inveigh: complain bitterly</w:t>
      </w:r>
    </w:p>
    <w:p w14:paraId="59F23722" w14:textId="1FAFA319"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Turgid: extremely ornate</w:t>
      </w:r>
    </w:p>
    <w:p w14:paraId="0C7ECB05" w14:textId="7C201917"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Vitiate: corrupt</w:t>
      </w:r>
    </w:p>
    <w:p w14:paraId="30AA5F5F" w14:textId="66ECB8B1"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Seraglio: harem, enclosure</w:t>
      </w:r>
    </w:p>
    <w:p w14:paraId="7A8ED678" w14:textId="7A4CBDCA" w:rsidR="00B25A5F" w:rsidRPr="009E22C7" w:rsidRDefault="00B25A5F" w:rsidP="009E22C7">
      <w:pPr>
        <w:spacing w:line="480" w:lineRule="auto"/>
        <w:rPr>
          <w:rFonts w:ascii="Times New Roman" w:hAnsi="Times New Roman" w:cs="Times New Roman"/>
        </w:rPr>
      </w:pPr>
      <w:r w:rsidRPr="009E22C7">
        <w:rPr>
          <w:rFonts w:ascii="Times New Roman" w:hAnsi="Times New Roman" w:cs="Times New Roman"/>
        </w:rPr>
        <w:t>Hardwicke</w:t>
      </w:r>
    </w:p>
    <w:p w14:paraId="13C3A632" w14:textId="669D31C2"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Banns of matrimony: public announcement of an impending marriage</w:t>
      </w:r>
    </w:p>
    <w:p w14:paraId="60BA812C" w14:textId="7A903490"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 xml:space="preserve">Extra-parochial area: outside any ecclesiastical/civil parish </w:t>
      </w:r>
    </w:p>
    <w:p w14:paraId="0C52561C" w14:textId="417B412E" w:rsidR="00B25A5F" w:rsidRPr="009E22C7" w:rsidRDefault="00B25A5F" w:rsidP="009E22C7">
      <w:pPr>
        <w:pStyle w:val="ListParagraph"/>
        <w:numPr>
          <w:ilvl w:val="1"/>
          <w:numId w:val="4"/>
        </w:numPr>
        <w:spacing w:line="480" w:lineRule="auto"/>
        <w:rPr>
          <w:rFonts w:ascii="Times New Roman" w:hAnsi="Times New Roman" w:cs="Times New Roman"/>
        </w:rPr>
      </w:pPr>
      <w:r w:rsidRPr="009E22C7">
        <w:rPr>
          <w:rFonts w:ascii="Times New Roman" w:hAnsi="Times New Roman" w:cs="Times New Roman"/>
        </w:rPr>
        <w:t>No religious facilities, local governance or relief for the poor</w:t>
      </w:r>
    </w:p>
    <w:p w14:paraId="2E121AB5" w14:textId="485F2833" w:rsidR="00B25A5F" w:rsidRPr="009E22C7" w:rsidRDefault="00B25A5F" w:rsidP="009E22C7">
      <w:pPr>
        <w:spacing w:line="480" w:lineRule="auto"/>
        <w:rPr>
          <w:rFonts w:ascii="Times New Roman" w:hAnsi="Times New Roman" w:cs="Times New Roman"/>
        </w:rPr>
      </w:pPr>
      <w:proofErr w:type="spellStart"/>
      <w:r w:rsidRPr="009E22C7">
        <w:rPr>
          <w:rFonts w:ascii="Times New Roman" w:hAnsi="Times New Roman" w:cs="Times New Roman"/>
        </w:rPr>
        <w:t>P</w:t>
      </w:r>
      <w:proofErr w:type="spellEnd"/>
      <w:r w:rsidRPr="009E22C7">
        <w:rPr>
          <w:rFonts w:ascii="Times New Roman" w:hAnsi="Times New Roman" w:cs="Times New Roman"/>
        </w:rPr>
        <w:t>hillips</w:t>
      </w:r>
    </w:p>
    <w:p w14:paraId="65F82768" w14:textId="225B22B2"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Coverture: the status of a married woman under common law</w:t>
      </w:r>
    </w:p>
    <w:p w14:paraId="7310A8AD" w14:textId="502F4FC4"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lastRenderedPageBreak/>
        <w:t>Legal fiction (Jeremy Bentham): “an assumed fact notoriously false, upon which one reasons as if it were true”</w:t>
      </w:r>
      <w:r w:rsidRPr="009E22C7">
        <w:rPr>
          <w:rStyle w:val="FootnoteReference"/>
          <w:rFonts w:ascii="Times New Roman" w:hAnsi="Times New Roman" w:cs="Times New Roman"/>
        </w:rPr>
        <w:footnoteReference w:id="1"/>
      </w:r>
    </w:p>
    <w:p w14:paraId="52AFF9B8" w14:textId="4682F604"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Chattel: property</w:t>
      </w:r>
    </w:p>
    <w:p w14:paraId="04DFB786" w14:textId="366FE91E"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Moribund: about to become obsolete</w:t>
      </w:r>
    </w:p>
    <w:p w14:paraId="33C8971B" w14:textId="59C845F3"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i/>
          <w:iCs/>
        </w:rPr>
        <w:t>Feme sole</w:t>
      </w:r>
      <w:r w:rsidRPr="009E22C7">
        <w:rPr>
          <w:rFonts w:ascii="Times New Roman" w:hAnsi="Times New Roman" w:cs="Times New Roman"/>
        </w:rPr>
        <w:t xml:space="preserve"> merchant: married woman who traded independently from her husband (treated as a </w:t>
      </w:r>
      <w:r w:rsidRPr="009E22C7">
        <w:rPr>
          <w:rFonts w:ascii="Times New Roman" w:hAnsi="Times New Roman" w:cs="Times New Roman"/>
          <w:i/>
          <w:iCs/>
        </w:rPr>
        <w:t>feme sole</w:t>
      </w:r>
      <w:r w:rsidRPr="009E22C7">
        <w:rPr>
          <w:rFonts w:ascii="Times New Roman" w:hAnsi="Times New Roman" w:cs="Times New Roman"/>
        </w:rPr>
        <w:t>)</w:t>
      </w:r>
    </w:p>
    <w:p w14:paraId="26CCAFA4" w14:textId="57139D91" w:rsidR="00B25A5F" w:rsidRPr="009E22C7" w:rsidRDefault="00B25A5F" w:rsidP="009E22C7">
      <w:pPr>
        <w:pStyle w:val="ListParagraph"/>
        <w:numPr>
          <w:ilvl w:val="1"/>
          <w:numId w:val="4"/>
        </w:numPr>
        <w:spacing w:line="480" w:lineRule="auto"/>
        <w:rPr>
          <w:rFonts w:ascii="Times New Roman" w:hAnsi="Times New Roman" w:cs="Times New Roman"/>
        </w:rPr>
      </w:pPr>
      <w:r w:rsidRPr="009E22C7">
        <w:rPr>
          <w:rFonts w:ascii="Times New Roman" w:hAnsi="Times New Roman" w:cs="Times New Roman"/>
        </w:rPr>
        <w:t xml:space="preserve">Custom of London </w:t>
      </w:r>
    </w:p>
    <w:p w14:paraId="46151266" w14:textId="1499CBC8" w:rsidR="00B25A5F" w:rsidRPr="009E22C7" w:rsidRDefault="00B25A5F" w:rsidP="009E22C7">
      <w:pPr>
        <w:pStyle w:val="ListParagraph"/>
        <w:numPr>
          <w:ilvl w:val="1"/>
          <w:numId w:val="4"/>
        </w:numPr>
        <w:spacing w:line="480" w:lineRule="auto"/>
        <w:rPr>
          <w:rFonts w:ascii="Times New Roman" w:hAnsi="Times New Roman" w:cs="Times New Roman"/>
        </w:rPr>
      </w:pPr>
      <w:r w:rsidRPr="009E22C7">
        <w:rPr>
          <w:rFonts w:ascii="Times New Roman" w:hAnsi="Times New Roman" w:cs="Times New Roman"/>
        </w:rPr>
        <w:t>Liable for bankruptcy</w:t>
      </w:r>
    </w:p>
    <w:p w14:paraId="241B0516" w14:textId="2FCEB09C"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i/>
          <w:iCs/>
        </w:rPr>
        <w:t>Feme covert</w:t>
      </w:r>
      <w:r w:rsidRPr="009E22C7">
        <w:rPr>
          <w:rFonts w:ascii="Times New Roman" w:hAnsi="Times New Roman" w:cs="Times New Roman"/>
        </w:rPr>
        <w:t>: married woman whose legal identity was subsumed by her husband’s</w:t>
      </w:r>
    </w:p>
    <w:p w14:paraId="48B07A2D" w14:textId="46487060" w:rsidR="00B25A5F" w:rsidRPr="009E22C7" w:rsidRDefault="00B25A5F" w:rsidP="009E22C7">
      <w:pPr>
        <w:pStyle w:val="ListParagraph"/>
        <w:numPr>
          <w:ilvl w:val="0"/>
          <w:numId w:val="4"/>
        </w:numPr>
        <w:spacing w:line="480" w:lineRule="auto"/>
        <w:rPr>
          <w:rFonts w:ascii="Times New Roman" w:hAnsi="Times New Roman" w:cs="Times New Roman"/>
        </w:rPr>
      </w:pPr>
      <w:r w:rsidRPr="009E22C7">
        <w:rPr>
          <w:rFonts w:ascii="Times New Roman" w:hAnsi="Times New Roman" w:cs="Times New Roman"/>
        </w:rPr>
        <w:t>Paean: expression of joy or praise</w:t>
      </w:r>
    </w:p>
    <w:p w14:paraId="167C0228" w14:textId="50487622" w:rsidR="002B05F3" w:rsidRPr="009E22C7" w:rsidRDefault="002B05F3" w:rsidP="009E22C7">
      <w:pPr>
        <w:spacing w:line="480" w:lineRule="auto"/>
        <w:rPr>
          <w:rFonts w:ascii="Times New Roman" w:hAnsi="Times New Roman" w:cs="Times New Roman"/>
        </w:rPr>
      </w:pPr>
    </w:p>
    <w:p w14:paraId="2DEC2970" w14:textId="3B6DAFE5" w:rsidR="002B05F3" w:rsidRPr="009E22C7" w:rsidRDefault="002B05F3" w:rsidP="009E22C7">
      <w:pPr>
        <w:spacing w:line="480" w:lineRule="auto"/>
        <w:ind w:firstLine="360"/>
        <w:rPr>
          <w:rFonts w:ascii="Times New Roman" w:hAnsi="Times New Roman" w:cs="Times New Roman"/>
        </w:rPr>
      </w:pPr>
      <w:r w:rsidRPr="009E22C7">
        <w:rPr>
          <w:rFonts w:ascii="Times New Roman" w:hAnsi="Times New Roman" w:cs="Times New Roman"/>
        </w:rPr>
        <w:t>Montgomery and Phillips both provide a timeline of the development (whether progress or regression) of women’s rights in Britain. Both authors agree that women’s rights did not improve in a linear fashion, however their methods of explaining why differ.</w:t>
      </w:r>
      <w:r w:rsidRPr="009E22C7">
        <w:rPr>
          <w:rStyle w:val="FootnoteReference"/>
          <w:rFonts w:ascii="Times New Roman" w:hAnsi="Times New Roman" w:cs="Times New Roman"/>
        </w:rPr>
        <w:footnoteReference w:id="2"/>
      </w:r>
      <w:r w:rsidRPr="009E22C7">
        <w:rPr>
          <w:rFonts w:ascii="Times New Roman" w:hAnsi="Times New Roman" w:cs="Times New Roman"/>
        </w:rPr>
        <w:t xml:space="preserve"> Having read Phillips before Montgomery, I found Phillips’ use of laws, treatises and case studies a more comprehensive history of women’s legal status and rights. </w:t>
      </w:r>
      <w:r w:rsidR="00F06570" w:rsidRPr="009E22C7">
        <w:rPr>
          <w:rFonts w:ascii="Times New Roman" w:hAnsi="Times New Roman" w:cs="Times New Roman"/>
        </w:rPr>
        <w:t>Phillips</w:t>
      </w:r>
      <w:r w:rsidR="00105F6F" w:rsidRPr="009E22C7">
        <w:rPr>
          <w:rFonts w:ascii="Times New Roman" w:hAnsi="Times New Roman" w:cs="Times New Roman"/>
        </w:rPr>
        <w:t>,</w:t>
      </w:r>
      <w:r w:rsidR="00F06570" w:rsidRPr="009E22C7">
        <w:rPr>
          <w:rFonts w:ascii="Times New Roman" w:hAnsi="Times New Roman" w:cs="Times New Roman"/>
        </w:rPr>
        <w:t xml:space="preserve"> in fact</w:t>
      </w:r>
      <w:r w:rsidR="00105F6F" w:rsidRPr="009E22C7">
        <w:rPr>
          <w:rFonts w:ascii="Times New Roman" w:hAnsi="Times New Roman" w:cs="Times New Roman"/>
        </w:rPr>
        <w:t>,</w:t>
      </w:r>
      <w:r w:rsidR="00F06570" w:rsidRPr="009E22C7">
        <w:rPr>
          <w:rFonts w:ascii="Times New Roman" w:hAnsi="Times New Roman" w:cs="Times New Roman"/>
        </w:rPr>
        <w:t xml:space="preserve"> highlighted the flaws in Montgomery’s work. </w:t>
      </w:r>
      <w:proofErr w:type="gramStart"/>
      <w:r w:rsidRPr="009E22C7">
        <w:rPr>
          <w:rFonts w:ascii="Times New Roman" w:hAnsi="Times New Roman" w:cs="Times New Roman"/>
        </w:rPr>
        <w:t xml:space="preserve">In particular, </w:t>
      </w:r>
      <w:r w:rsidR="00105F6F" w:rsidRPr="009E22C7">
        <w:rPr>
          <w:rFonts w:ascii="Times New Roman" w:hAnsi="Times New Roman" w:cs="Times New Roman"/>
        </w:rPr>
        <w:t>Phillips’</w:t>
      </w:r>
      <w:proofErr w:type="gramEnd"/>
      <w:r w:rsidRPr="009E22C7">
        <w:rPr>
          <w:rFonts w:ascii="Times New Roman" w:hAnsi="Times New Roman" w:cs="Times New Roman"/>
        </w:rPr>
        <w:t xml:space="preserve"> statement that </w:t>
      </w:r>
      <w:r w:rsidR="00F06570" w:rsidRPr="009E22C7">
        <w:rPr>
          <w:rFonts w:ascii="Times New Roman" w:hAnsi="Times New Roman" w:cs="Times New Roman"/>
        </w:rPr>
        <w:t>lawyers brought about modifications to the law not to create social and economic change, but to catch up to social and economic change</w:t>
      </w:r>
      <w:r w:rsidR="00105F6F" w:rsidRPr="009E22C7">
        <w:rPr>
          <w:rFonts w:ascii="Times New Roman" w:hAnsi="Times New Roman" w:cs="Times New Roman"/>
        </w:rPr>
        <w:t xml:space="preserve"> rebutted Montgomery’s use of legislation as markers of progress or regression</w:t>
      </w:r>
      <w:r w:rsidR="00F06570" w:rsidRPr="009E22C7">
        <w:rPr>
          <w:rFonts w:ascii="Times New Roman" w:hAnsi="Times New Roman" w:cs="Times New Roman"/>
        </w:rPr>
        <w:t>.</w:t>
      </w:r>
      <w:r w:rsidR="00105F6F" w:rsidRPr="009E22C7">
        <w:rPr>
          <w:rStyle w:val="FootnoteReference"/>
          <w:rFonts w:ascii="Times New Roman" w:hAnsi="Times New Roman" w:cs="Times New Roman"/>
        </w:rPr>
        <w:footnoteReference w:id="3"/>
      </w:r>
      <w:r w:rsidR="00F06570" w:rsidRPr="009E22C7">
        <w:rPr>
          <w:rFonts w:ascii="Times New Roman" w:hAnsi="Times New Roman" w:cs="Times New Roman"/>
        </w:rPr>
        <w:t xml:space="preserve"> Thus, the </w:t>
      </w:r>
      <w:r w:rsidR="00105F6F" w:rsidRPr="009E22C7">
        <w:rPr>
          <w:rFonts w:ascii="Times New Roman" w:hAnsi="Times New Roman" w:cs="Times New Roman"/>
        </w:rPr>
        <w:t>law</w:t>
      </w:r>
      <w:r w:rsidR="00F06570" w:rsidRPr="009E22C7">
        <w:rPr>
          <w:rFonts w:ascii="Times New Roman" w:hAnsi="Times New Roman" w:cs="Times New Roman"/>
        </w:rPr>
        <w:t xml:space="preserve"> may signify the enshrinement of women’s rights</w:t>
      </w:r>
      <w:r w:rsidR="00356048" w:rsidRPr="009E22C7">
        <w:rPr>
          <w:rFonts w:ascii="Times New Roman" w:hAnsi="Times New Roman" w:cs="Times New Roman"/>
        </w:rPr>
        <w:t>,</w:t>
      </w:r>
      <w:r w:rsidR="00F06570" w:rsidRPr="009E22C7">
        <w:rPr>
          <w:rFonts w:ascii="Times New Roman" w:hAnsi="Times New Roman" w:cs="Times New Roman"/>
        </w:rPr>
        <w:t xml:space="preserve"> or lack thereof</w:t>
      </w:r>
      <w:r w:rsidR="00356048" w:rsidRPr="009E22C7">
        <w:rPr>
          <w:rFonts w:ascii="Times New Roman" w:hAnsi="Times New Roman" w:cs="Times New Roman"/>
        </w:rPr>
        <w:t>,</w:t>
      </w:r>
      <w:r w:rsidR="00F06570" w:rsidRPr="009E22C7">
        <w:rPr>
          <w:rFonts w:ascii="Times New Roman" w:hAnsi="Times New Roman" w:cs="Times New Roman"/>
        </w:rPr>
        <w:t xml:space="preserve"> but she does not consider the happenings </w:t>
      </w:r>
      <w:r w:rsidR="00105F6F" w:rsidRPr="009E22C7">
        <w:rPr>
          <w:rFonts w:ascii="Times New Roman" w:hAnsi="Times New Roman" w:cs="Times New Roman"/>
        </w:rPr>
        <w:t>before the laws were created.</w:t>
      </w:r>
      <w:r w:rsidR="00F06570" w:rsidRPr="009E22C7">
        <w:rPr>
          <w:rFonts w:ascii="Times New Roman" w:hAnsi="Times New Roman" w:cs="Times New Roman"/>
        </w:rPr>
        <w:t xml:space="preserve"> </w:t>
      </w:r>
      <w:r w:rsidR="00105F6F" w:rsidRPr="009E22C7">
        <w:rPr>
          <w:rFonts w:ascii="Times New Roman" w:hAnsi="Times New Roman" w:cs="Times New Roman"/>
        </w:rPr>
        <w:t xml:space="preserve">Montgomery opens her chapter by asserting that “[a] woman’s legal position illustrates most clearly her role </w:t>
      </w:r>
      <w:r w:rsidR="00105F6F" w:rsidRPr="009E22C7">
        <w:rPr>
          <w:rFonts w:ascii="Times New Roman" w:hAnsi="Times New Roman" w:cs="Times New Roman"/>
        </w:rPr>
        <w:lastRenderedPageBreak/>
        <w:t>within society”.</w:t>
      </w:r>
      <w:r w:rsidR="00105F6F" w:rsidRPr="009E22C7">
        <w:rPr>
          <w:rStyle w:val="FootnoteReference"/>
          <w:rFonts w:ascii="Times New Roman" w:hAnsi="Times New Roman" w:cs="Times New Roman"/>
        </w:rPr>
        <w:footnoteReference w:id="4"/>
      </w:r>
      <w:r w:rsidR="00105F6F" w:rsidRPr="009E22C7">
        <w:rPr>
          <w:rFonts w:ascii="Times New Roman" w:hAnsi="Times New Roman" w:cs="Times New Roman"/>
        </w:rPr>
        <w:t xml:space="preserve"> However, h</w:t>
      </w:r>
      <w:r w:rsidR="00F06570" w:rsidRPr="009E22C7">
        <w:rPr>
          <w:rFonts w:ascii="Times New Roman" w:hAnsi="Times New Roman" w:cs="Times New Roman"/>
        </w:rPr>
        <w:t xml:space="preserve">er chapter provides a limited perspective on how laws that were made by men affected women. </w:t>
      </w:r>
    </w:p>
    <w:p w14:paraId="029F16F4" w14:textId="3C58FCE8" w:rsidR="00F06570" w:rsidRPr="009E22C7" w:rsidRDefault="00105F6F" w:rsidP="009E22C7">
      <w:pPr>
        <w:spacing w:line="480" w:lineRule="auto"/>
        <w:ind w:firstLine="360"/>
        <w:rPr>
          <w:rFonts w:ascii="Times New Roman" w:hAnsi="Times New Roman" w:cs="Times New Roman"/>
        </w:rPr>
      </w:pPr>
      <w:r w:rsidRPr="009E22C7">
        <w:rPr>
          <w:rFonts w:ascii="Times New Roman" w:hAnsi="Times New Roman" w:cs="Times New Roman"/>
        </w:rPr>
        <w:t>Reading</w:t>
      </w:r>
      <w:r w:rsidR="00F06570" w:rsidRPr="009E22C7">
        <w:rPr>
          <w:rFonts w:ascii="Times New Roman" w:hAnsi="Times New Roman" w:cs="Times New Roman"/>
        </w:rPr>
        <w:t xml:space="preserve"> Phillips before Montgomery meant that I </w:t>
      </w:r>
      <w:r w:rsidR="00356048" w:rsidRPr="009E22C7">
        <w:rPr>
          <w:rFonts w:ascii="Times New Roman" w:hAnsi="Times New Roman" w:cs="Times New Roman"/>
        </w:rPr>
        <w:t xml:space="preserve">brought the assumption that Montgomery’s work concerned middle-class women. Phillips’ work solely regarded women who traded and Montgomery’s introduction of women’s lack of legal rights (not being able to vote, make contracts, sue or be sued, or owning their income) brought about </w:t>
      </w:r>
      <w:r w:rsidRPr="009E22C7">
        <w:rPr>
          <w:rFonts w:ascii="Times New Roman" w:hAnsi="Times New Roman" w:cs="Times New Roman"/>
        </w:rPr>
        <w:t>the suggestion</w:t>
      </w:r>
      <w:r w:rsidR="00356048" w:rsidRPr="009E22C7">
        <w:rPr>
          <w:rFonts w:ascii="Times New Roman" w:hAnsi="Times New Roman" w:cs="Times New Roman"/>
        </w:rPr>
        <w:t xml:space="preserve"> </w:t>
      </w:r>
      <w:r w:rsidRPr="009E22C7">
        <w:rPr>
          <w:rFonts w:ascii="Times New Roman" w:hAnsi="Times New Roman" w:cs="Times New Roman"/>
        </w:rPr>
        <w:t>that the subject had</w:t>
      </w:r>
      <w:r w:rsidR="00356048" w:rsidRPr="009E22C7">
        <w:rPr>
          <w:rFonts w:ascii="Times New Roman" w:hAnsi="Times New Roman" w:cs="Times New Roman"/>
        </w:rPr>
        <w:t xml:space="preserve"> the potential to own property or income.</w:t>
      </w:r>
      <w:r w:rsidR="00356048" w:rsidRPr="009E22C7">
        <w:rPr>
          <w:rStyle w:val="FootnoteReference"/>
          <w:rFonts w:ascii="Times New Roman" w:hAnsi="Times New Roman" w:cs="Times New Roman"/>
        </w:rPr>
        <w:footnoteReference w:id="5"/>
      </w:r>
      <w:r w:rsidR="00356048" w:rsidRPr="009E22C7">
        <w:rPr>
          <w:rFonts w:ascii="Times New Roman" w:hAnsi="Times New Roman" w:cs="Times New Roman"/>
        </w:rPr>
        <w:t xml:space="preserve"> This made me think of middle-class women</w:t>
      </w:r>
      <w:r w:rsidRPr="009E22C7">
        <w:rPr>
          <w:rFonts w:ascii="Times New Roman" w:hAnsi="Times New Roman" w:cs="Times New Roman"/>
        </w:rPr>
        <w:t>, which I recognize is flawed.</w:t>
      </w:r>
    </w:p>
    <w:p w14:paraId="094A5558" w14:textId="2858B359" w:rsidR="00356048" w:rsidRPr="009E22C7" w:rsidRDefault="00356048" w:rsidP="009E22C7">
      <w:pPr>
        <w:spacing w:line="480" w:lineRule="auto"/>
        <w:ind w:firstLine="360"/>
        <w:rPr>
          <w:rFonts w:ascii="Times New Roman" w:hAnsi="Times New Roman" w:cs="Times New Roman"/>
        </w:rPr>
      </w:pPr>
      <w:r w:rsidRPr="009E22C7">
        <w:rPr>
          <w:rFonts w:ascii="Times New Roman" w:hAnsi="Times New Roman" w:cs="Times New Roman"/>
        </w:rPr>
        <w:t xml:space="preserve">Both Phillips and Montgomery focus heavily on married women because of the dominance of the unity of marriage doctrine. The doctrine meant that unmarried women were legally more “free” but most likely socially ostracised because marriage was seen as </w:t>
      </w:r>
      <w:r w:rsidR="00105F6F" w:rsidRPr="009E22C7">
        <w:rPr>
          <w:rFonts w:ascii="Times New Roman" w:hAnsi="Times New Roman" w:cs="Times New Roman"/>
        </w:rPr>
        <w:t>“desired goal and purpose of life for women”</w:t>
      </w:r>
      <w:r w:rsidRPr="009E22C7">
        <w:rPr>
          <w:rFonts w:ascii="Times New Roman" w:hAnsi="Times New Roman" w:cs="Times New Roman"/>
        </w:rPr>
        <w:t>.</w:t>
      </w:r>
      <w:r w:rsidR="00105F6F" w:rsidRPr="009E22C7">
        <w:rPr>
          <w:rStyle w:val="FootnoteReference"/>
          <w:rFonts w:ascii="Times New Roman" w:hAnsi="Times New Roman" w:cs="Times New Roman"/>
        </w:rPr>
        <w:footnoteReference w:id="6"/>
      </w:r>
      <w:r w:rsidRPr="009E22C7">
        <w:rPr>
          <w:rFonts w:ascii="Times New Roman" w:hAnsi="Times New Roman" w:cs="Times New Roman"/>
        </w:rPr>
        <w:t xml:space="preserve"> Phillips states clearly that her focus is on married women by beginning her chapter with the doctrine of coverture, while Montgomery </w:t>
      </w:r>
      <w:r w:rsidR="00105F6F" w:rsidRPr="009E22C7">
        <w:rPr>
          <w:rFonts w:ascii="Times New Roman" w:hAnsi="Times New Roman" w:cs="Times New Roman"/>
        </w:rPr>
        <w:t xml:space="preserve">begins hers by talking about women in general before focusing heavily on married women and mothers. </w:t>
      </w:r>
    </w:p>
    <w:p w14:paraId="09D66EF3" w14:textId="26EEDCC8" w:rsidR="009E22C7" w:rsidRDefault="009E22C7" w:rsidP="009E22C7">
      <w:pPr>
        <w:spacing w:line="480" w:lineRule="auto"/>
        <w:ind w:firstLine="360"/>
        <w:rPr>
          <w:rFonts w:ascii="Times New Roman" w:hAnsi="Times New Roman" w:cs="Times New Roman"/>
        </w:rPr>
      </w:pPr>
      <w:r w:rsidRPr="009E22C7">
        <w:rPr>
          <w:rFonts w:ascii="Times New Roman" w:hAnsi="Times New Roman" w:cs="Times New Roman"/>
        </w:rPr>
        <w:t xml:space="preserve">On an unrelated note, I thoroughly enjoyed Wollstonecraft’s </w:t>
      </w:r>
      <w:r w:rsidRPr="009E22C7">
        <w:rPr>
          <w:rFonts w:ascii="Times New Roman" w:hAnsi="Times New Roman" w:cs="Times New Roman"/>
          <w:i/>
          <w:iCs/>
        </w:rPr>
        <w:t>Introduction</w:t>
      </w:r>
      <w:r w:rsidRPr="009E22C7">
        <w:rPr>
          <w:rFonts w:ascii="Times New Roman" w:hAnsi="Times New Roman" w:cs="Times New Roman"/>
        </w:rPr>
        <w:t>. Instead of rebutting patriarchal ideology with blunt force, she uses its own logic to undermine itself. By confirming that feminine traits are soft and therefore weak, while masculine traits are strong, she argues that masculine women should be celebrated for attaining “manly virtues” and striving to be more like men.</w:t>
      </w:r>
      <w:r w:rsidRPr="009E22C7">
        <w:rPr>
          <w:rStyle w:val="FootnoteReference"/>
          <w:rFonts w:ascii="Times New Roman" w:hAnsi="Times New Roman" w:cs="Times New Roman"/>
        </w:rPr>
        <w:footnoteReference w:id="7"/>
      </w:r>
      <w:r w:rsidRPr="009E22C7">
        <w:rPr>
          <w:rFonts w:ascii="Times New Roman" w:hAnsi="Times New Roman" w:cs="Times New Roman"/>
        </w:rPr>
        <w:t xml:space="preserve"> Her work appeals more to women in that such an argument would first affirm, then deconstruct the epistemological framework that Georgian women </w:t>
      </w:r>
      <w:r w:rsidRPr="009E22C7">
        <w:rPr>
          <w:rFonts w:ascii="Times New Roman" w:hAnsi="Times New Roman" w:cs="Times New Roman"/>
        </w:rPr>
        <w:lastRenderedPageBreak/>
        <w:t>would have been taught (by both men and women). Wollstonecraft constructs a call to action for her audience to “every day grow more and more masculine”.</w:t>
      </w:r>
    </w:p>
    <w:p w14:paraId="3498B043" w14:textId="77777777" w:rsidR="009E22C7" w:rsidRDefault="009E22C7">
      <w:pPr>
        <w:rPr>
          <w:rFonts w:ascii="Times New Roman" w:hAnsi="Times New Roman" w:cs="Times New Roman"/>
        </w:rPr>
      </w:pPr>
      <w:r>
        <w:rPr>
          <w:rFonts w:ascii="Times New Roman" w:hAnsi="Times New Roman" w:cs="Times New Roman"/>
        </w:rPr>
        <w:br w:type="page"/>
      </w:r>
    </w:p>
    <w:p w14:paraId="7138B118" w14:textId="1EF293C1" w:rsidR="00105F6F" w:rsidRPr="002E1329" w:rsidRDefault="009E22C7" w:rsidP="009E22C7">
      <w:pPr>
        <w:spacing w:line="480" w:lineRule="auto"/>
        <w:ind w:firstLine="360"/>
        <w:jc w:val="center"/>
        <w:rPr>
          <w:rFonts w:ascii="Times New Roman" w:hAnsi="Times New Roman" w:cs="Times New Roman"/>
          <w:b/>
          <w:bCs/>
        </w:rPr>
      </w:pPr>
      <w:r w:rsidRPr="002E1329">
        <w:rPr>
          <w:rFonts w:ascii="Times New Roman" w:hAnsi="Times New Roman" w:cs="Times New Roman"/>
          <w:b/>
          <w:bCs/>
        </w:rPr>
        <w:lastRenderedPageBreak/>
        <w:t>Works Cited</w:t>
      </w:r>
    </w:p>
    <w:p w14:paraId="283976A4" w14:textId="77777777" w:rsidR="002E1329" w:rsidRPr="002E1329" w:rsidRDefault="002E1329" w:rsidP="002E1329">
      <w:pPr>
        <w:spacing w:line="480" w:lineRule="auto"/>
        <w:ind w:left="720" w:hanging="720"/>
        <w:rPr>
          <w:rFonts w:ascii="Times New Roman" w:hAnsi="Times New Roman" w:cs="Times New Roman"/>
        </w:rPr>
      </w:pPr>
      <w:r w:rsidRPr="002E1329">
        <w:rPr>
          <w:rFonts w:ascii="Times New Roman" w:hAnsi="Times New Roman" w:cs="Times New Roman"/>
        </w:rPr>
        <w:t xml:space="preserve">Wollstonecraft, Mary. </w:t>
      </w:r>
      <w:r w:rsidRPr="002E1329">
        <w:rPr>
          <w:rFonts w:ascii="Times New Roman" w:hAnsi="Times New Roman" w:cs="Times New Roman"/>
          <w:i/>
          <w:iCs/>
        </w:rPr>
        <w:t>Vindication of the Rights of Woman</w:t>
      </w:r>
      <w:r w:rsidRPr="002E1329">
        <w:rPr>
          <w:rFonts w:ascii="Times New Roman" w:hAnsi="Times New Roman" w:cs="Times New Roman"/>
        </w:rPr>
        <w:t>. 1792. Arcturus Publishing Ltd, 1792.</w:t>
      </w:r>
    </w:p>
    <w:p w14:paraId="67D43F3A" w14:textId="77777777" w:rsidR="002E1329" w:rsidRDefault="002E1329" w:rsidP="002E1329">
      <w:pPr>
        <w:spacing w:line="480" w:lineRule="auto"/>
        <w:ind w:left="720" w:hanging="720"/>
        <w:rPr>
          <w:rFonts w:ascii="Times New Roman" w:hAnsi="Times New Roman" w:cs="Times New Roman"/>
        </w:rPr>
      </w:pPr>
      <w:r w:rsidRPr="002E1329">
        <w:rPr>
          <w:rFonts w:ascii="Times New Roman" w:hAnsi="Times New Roman" w:cs="Times New Roman"/>
        </w:rPr>
        <w:t xml:space="preserve">Phillips, Nicola. </w:t>
      </w:r>
      <w:r w:rsidRPr="002E1329">
        <w:rPr>
          <w:rFonts w:ascii="Times New Roman" w:hAnsi="Times New Roman" w:cs="Times New Roman"/>
          <w:i/>
          <w:iCs/>
        </w:rPr>
        <w:t>Women in Business, 1700-1850</w:t>
      </w:r>
      <w:r w:rsidRPr="002E1329">
        <w:rPr>
          <w:rFonts w:ascii="Times New Roman" w:hAnsi="Times New Roman" w:cs="Times New Roman"/>
        </w:rPr>
        <w:t>. Boydell Press, 2006.</w:t>
      </w:r>
    </w:p>
    <w:p w14:paraId="227DD305" w14:textId="0A8B6EC2" w:rsidR="002E1329" w:rsidRPr="002E1329" w:rsidRDefault="002E1329" w:rsidP="002E1329">
      <w:pPr>
        <w:spacing w:line="480" w:lineRule="auto"/>
        <w:ind w:left="720" w:hanging="720"/>
        <w:rPr>
          <w:rFonts w:ascii="Times New Roman" w:hAnsi="Times New Roman" w:cs="Times New Roman"/>
        </w:rPr>
      </w:pPr>
      <w:r w:rsidRPr="002E1329">
        <w:rPr>
          <w:rFonts w:ascii="Times New Roman" w:hAnsi="Times New Roman" w:cs="Times New Roman"/>
        </w:rPr>
        <w:t xml:space="preserve">Montgomery, Fiona. </w:t>
      </w:r>
      <w:r w:rsidRPr="002E1329">
        <w:rPr>
          <w:rFonts w:ascii="Times New Roman" w:hAnsi="Times New Roman" w:cs="Times New Roman"/>
          <w:i/>
          <w:iCs/>
        </w:rPr>
        <w:t>Women’s Rights (Struggles and Feminism in Britain C. 1770-1970.</w:t>
      </w:r>
      <w:r w:rsidRPr="002E1329">
        <w:rPr>
          <w:rFonts w:ascii="Times New Roman" w:hAnsi="Times New Roman" w:cs="Times New Roman"/>
          <w:i/>
          <w:iCs/>
        </w:rPr>
        <w:t>)</w:t>
      </w:r>
      <w:r w:rsidRPr="002E1329">
        <w:rPr>
          <w:rFonts w:ascii="Times New Roman" w:hAnsi="Times New Roman" w:cs="Times New Roman"/>
        </w:rPr>
        <w:t xml:space="preserve"> Manchester University Press, 2007.</w:t>
      </w:r>
    </w:p>
    <w:p w14:paraId="1BFF2A46" w14:textId="77777777" w:rsidR="002E1329" w:rsidRPr="002E1329" w:rsidRDefault="002E1329" w:rsidP="002E1329">
      <w:pPr>
        <w:spacing w:line="480" w:lineRule="auto"/>
        <w:rPr>
          <w:rFonts w:ascii="Times New Roman" w:hAnsi="Times New Roman" w:cs="Times New Roman"/>
        </w:rPr>
      </w:pPr>
    </w:p>
    <w:p w14:paraId="3BAF88CA" w14:textId="77777777" w:rsidR="009E22C7" w:rsidRPr="009E22C7" w:rsidRDefault="009E22C7" w:rsidP="009E22C7">
      <w:pPr>
        <w:spacing w:line="480" w:lineRule="auto"/>
        <w:ind w:firstLine="360"/>
        <w:rPr>
          <w:rFonts w:ascii="Times New Roman" w:hAnsi="Times New Roman" w:cs="Times New Roman"/>
        </w:rPr>
      </w:pPr>
    </w:p>
    <w:sectPr w:rsidR="009E22C7" w:rsidRPr="009E22C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FE0BF0" w14:textId="77777777" w:rsidR="000A41F0" w:rsidRDefault="000A41F0" w:rsidP="00B25A5F">
      <w:pPr>
        <w:spacing w:after="0" w:line="240" w:lineRule="auto"/>
      </w:pPr>
      <w:r>
        <w:separator/>
      </w:r>
    </w:p>
  </w:endnote>
  <w:endnote w:type="continuationSeparator" w:id="0">
    <w:p w14:paraId="7F9ED70B" w14:textId="77777777" w:rsidR="000A41F0" w:rsidRDefault="000A41F0" w:rsidP="00B25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notTrueType/>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BB4C69" w14:textId="77777777" w:rsidR="000A41F0" w:rsidRDefault="000A41F0" w:rsidP="00B25A5F">
      <w:pPr>
        <w:spacing w:after="0" w:line="240" w:lineRule="auto"/>
      </w:pPr>
      <w:r>
        <w:separator/>
      </w:r>
    </w:p>
  </w:footnote>
  <w:footnote w:type="continuationSeparator" w:id="0">
    <w:p w14:paraId="6BDFBF8F" w14:textId="77777777" w:rsidR="000A41F0" w:rsidRDefault="000A41F0" w:rsidP="00B25A5F">
      <w:pPr>
        <w:spacing w:after="0" w:line="240" w:lineRule="auto"/>
      </w:pPr>
      <w:r>
        <w:continuationSeparator/>
      </w:r>
    </w:p>
  </w:footnote>
  <w:footnote w:id="1">
    <w:p w14:paraId="421402D2" w14:textId="42FFC5CD" w:rsidR="00B25A5F" w:rsidRPr="002E1329" w:rsidRDefault="00B25A5F" w:rsidP="002E1329">
      <w:pPr>
        <w:spacing w:line="240" w:lineRule="auto"/>
        <w:rPr>
          <w:rFonts w:ascii="Times New Roman" w:hAnsi="Times New Roman" w:cs="Times New Roman"/>
          <w:sz w:val="20"/>
          <w:szCs w:val="20"/>
        </w:rPr>
      </w:pPr>
      <w:r w:rsidRPr="002E1329">
        <w:rPr>
          <w:rStyle w:val="FootnoteReference"/>
          <w:rFonts w:ascii="Times New Roman" w:hAnsi="Times New Roman" w:cs="Times New Roman"/>
          <w:sz w:val="20"/>
          <w:szCs w:val="20"/>
        </w:rPr>
        <w:footnoteRef/>
      </w:r>
      <w:r w:rsidRPr="002E1329">
        <w:rPr>
          <w:rFonts w:ascii="Times New Roman" w:hAnsi="Times New Roman" w:cs="Times New Roman"/>
          <w:sz w:val="20"/>
          <w:szCs w:val="20"/>
        </w:rPr>
        <w:t xml:space="preserve"> </w:t>
      </w:r>
      <w:r w:rsidR="002E1329" w:rsidRPr="002E1329">
        <w:rPr>
          <w:rFonts w:ascii="Times New Roman" w:hAnsi="Times New Roman" w:cs="Times New Roman"/>
          <w:sz w:val="20"/>
          <w:szCs w:val="20"/>
        </w:rPr>
        <w:t xml:space="preserve">Phillips, Nicola. </w:t>
      </w:r>
      <w:r w:rsidR="002E1329" w:rsidRPr="002E1329">
        <w:rPr>
          <w:rFonts w:ascii="Times New Roman" w:hAnsi="Times New Roman" w:cs="Times New Roman"/>
          <w:i/>
          <w:iCs/>
          <w:sz w:val="20"/>
          <w:szCs w:val="20"/>
        </w:rPr>
        <w:t>Women in Business, 1700-1850</w:t>
      </w:r>
      <w:r w:rsidR="002E1329" w:rsidRPr="002E1329">
        <w:rPr>
          <w:rFonts w:ascii="Times New Roman" w:hAnsi="Times New Roman" w:cs="Times New Roman"/>
          <w:sz w:val="20"/>
          <w:szCs w:val="20"/>
        </w:rPr>
        <w:t>.</w:t>
      </w:r>
      <w:r w:rsidR="002E1329">
        <w:rPr>
          <w:rFonts w:ascii="Times New Roman" w:hAnsi="Times New Roman" w:cs="Times New Roman"/>
          <w:sz w:val="20"/>
          <w:szCs w:val="20"/>
        </w:rPr>
        <w:t>,</w:t>
      </w:r>
      <w:r w:rsidR="002E1329" w:rsidRPr="002E1329">
        <w:rPr>
          <w:rFonts w:ascii="Times New Roman" w:hAnsi="Times New Roman" w:cs="Times New Roman"/>
          <w:sz w:val="20"/>
          <w:szCs w:val="20"/>
        </w:rPr>
        <w:t xml:space="preserve"> </w:t>
      </w:r>
      <w:r w:rsidR="002B05F3" w:rsidRPr="002E1329">
        <w:rPr>
          <w:rFonts w:ascii="Times New Roman" w:hAnsi="Times New Roman" w:cs="Times New Roman"/>
          <w:sz w:val="20"/>
          <w:szCs w:val="20"/>
        </w:rPr>
        <w:t xml:space="preserve">pp. 24 </w:t>
      </w:r>
    </w:p>
  </w:footnote>
  <w:footnote w:id="2">
    <w:p w14:paraId="7AA24219" w14:textId="32BC2B96" w:rsidR="002B05F3" w:rsidRPr="002E1329" w:rsidRDefault="002B05F3" w:rsidP="002E1329">
      <w:pPr>
        <w:pStyle w:val="FootnoteText"/>
        <w:rPr>
          <w:rFonts w:ascii="Times New Roman" w:hAnsi="Times New Roman" w:cs="Times New Roman"/>
        </w:rPr>
      </w:pPr>
      <w:r w:rsidRPr="002E1329">
        <w:rPr>
          <w:rStyle w:val="FootnoteReference"/>
          <w:rFonts w:ascii="Times New Roman" w:hAnsi="Times New Roman" w:cs="Times New Roman"/>
        </w:rPr>
        <w:footnoteRef/>
      </w:r>
      <w:r w:rsidRPr="002E1329">
        <w:rPr>
          <w:rFonts w:ascii="Times New Roman" w:hAnsi="Times New Roman" w:cs="Times New Roman"/>
        </w:rPr>
        <w:t xml:space="preserve"> </w:t>
      </w:r>
      <w:r w:rsidR="009E22C7" w:rsidRPr="002E1329">
        <w:rPr>
          <w:rFonts w:ascii="Times New Roman" w:hAnsi="Times New Roman" w:cs="Times New Roman"/>
          <w:i/>
          <w:iCs/>
          <w:lang w:val="en-US"/>
        </w:rPr>
        <w:t>Ibid.,</w:t>
      </w:r>
      <w:r w:rsidRPr="002E1329">
        <w:rPr>
          <w:rFonts w:ascii="Times New Roman" w:hAnsi="Times New Roman" w:cs="Times New Roman"/>
          <w:lang w:val="en-US"/>
        </w:rPr>
        <w:t xml:space="preserve"> pp. 28</w:t>
      </w:r>
      <w:r w:rsidR="002E1329">
        <w:rPr>
          <w:rFonts w:ascii="Times New Roman" w:hAnsi="Times New Roman" w:cs="Times New Roman"/>
          <w:lang w:val="en-US"/>
        </w:rPr>
        <w:t>;</w:t>
      </w:r>
      <w:r w:rsidRPr="002E1329">
        <w:rPr>
          <w:rFonts w:ascii="Times New Roman" w:hAnsi="Times New Roman" w:cs="Times New Roman"/>
          <w:lang w:val="en-US"/>
        </w:rPr>
        <w:t xml:space="preserve"> </w:t>
      </w:r>
      <w:r w:rsidR="002E1329" w:rsidRPr="002E1329">
        <w:rPr>
          <w:rFonts w:ascii="Times New Roman" w:hAnsi="Times New Roman" w:cs="Times New Roman"/>
        </w:rPr>
        <w:t xml:space="preserve">Montgomery, Fiona. </w:t>
      </w:r>
      <w:r w:rsidR="002E1329" w:rsidRPr="002E1329">
        <w:rPr>
          <w:rFonts w:ascii="Times New Roman" w:hAnsi="Times New Roman" w:cs="Times New Roman"/>
          <w:i/>
          <w:iCs/>
        </w:rPr>
        <w:t>Women’s Rights (Struggles and Feminism in Britain C. 1770-1970</w:t>
      </w:r>
      <w:r w:rsidR="002E1329" w:rsidRPr="002E1329">
        <w:rPr>
          <w:rFonts w:ascii="Times New Roman" w:hAnsi="Times New Roman" w:cs="Times New Roman"/>
        </w:rPr>
        <w:t>.</w:t>
      </w:r>
      <w:r w:rsidR="002E1329" w:rsidRPr="002E1329">
        <w:rPr>
          <w:rFonts w:ascii="Times New Roman" w:hAnsi="Times New Roman" w:cs="Times New Roman"/>
        </w:rPr>
        <w:t>)</w:t>
      </w:r>
      <w:r w:rsidR="002E1329">
        <w:rPr>
          <w:rFonts w:ascii="Times New Roman" w:hAnsi="Times New Roman" w:cs="Times New Roman"/>
        </w:rPr>
        <w:t>.</w:t>
      </w:r>
      <w:r w:rsidR="002E1329" w:rsidRPr="002E1329">
        <w:rPr>
          <w:rFonts w:ascii="Times New Roman" w:hAnsi="Times New Roman" w:cs="Times New Roman"/>
        </w:rPr>
        <w:t xml:space="preserve">, </w:t>
      </w:r>
      <w:r w:rsidRPr="002E1329">
        <w:rPr>
          <w:rFonts w:ascii="Times New Roman" w:hAnsi="Times New Roman" w:cs="Times New Roman"/>
          <w:lang w:val="en-US"/>
        </w:rPr>
        <w:t>pp. 1</w:t>
      </w:r>
    </w:p>
  </w:footnote>
  <w:footnote w:id="3">
    <w:p w14:paraId="06DE781C" w14:textId="097CB13B" w:rsidR="00105F6F" w:rsidRPr="002E1329" w:rsidRDefault="00105F6F" w:rsidP="002E1329">
      <w:pPr>
        <w:spacing w:line="240" w:lineRule="auto"/>
        <w:rPr>
          <w:rFonts w:ascii="Times New Roman" w:hAnsi="Times New Roman" w:cs="Times New Roman"/>
          <w:sz w:val="20"/>
          <w:szCs w:val="20"/>
        </w:rPr>
      </w:pPr>
      <w:r w:rsidRPr="002E1329">
        <w:rPr>
          <w:rStyle w:val="FootnoteReference"/>
          <w:rFonts w:ascii="Times New Roman" w:hAnsi="Times New Roman" w:cs="Times New Roman"/>
          <w:sz w:val="20"/>
          <w:szCs w:val="20"/>
        </w:rPr>
        <w:footnoteRef/>
      </w:r>
      <w:r w:rsidRPr="002E1329">
        <w:rPr>
          <w:rFonts w:ascii="Times New Roman" w:hAnsi="Times New Roman" w:cs="Times New Roman"/>
          <w:sz w:val="20"/>
          <w:szCs w:val="20"/>
        </w:rPr>
        <w:t xml:space="preserve"> </w:t>
      </w:r>
      <w:r w:rsidR="002E1329" w:rsidRPr="002E1329">
        <w:rPr>
          <w:rFonts w:ascii="Times New Roman" w:hAnsi="Times New Roman" w:cs="Times New Roman"/>
          <w:sz w:val="20"/>
          <w:szCs w:val="20"/>
        </w:rPr>
        <w:t xml:space="preserve">Phillips, Nicola. </w:t>
      </w:r>
      <w:r w:rsidR="002E1329" w:rsidRPr="002E1329">
        <w:rPr>
          <w:rFonts w:ascii="Times New Roman" w:hAnsi="Times New Roman" w:cs="Times New Roman"/>
          <w:i/>
          <w:iCs/>
          <w:sz w:val="20"/>
          <w:szCs w:val="20"/>
        </w:rPr>
        <w:t>Women in Business, 1700-1850</w:t>
      </w:r>
      <w:r w:rsidR="002E1329" w:rsidRPr="002E1329">
        <w:rPr>
          <w:rFonts w:ascii="Times New Roman" w:hAnsi="Times New Roman" w:cs="Times New Roman"/>
          <w:sz w:val="20"/>
          <w:szCs w:val="20"/>
        </w:rPr>
        <w:t>.</w:t>
      </w:r>
      <w:r w:rsidR="002E1329" w:rsidRPr="002E1329">
        <w:rPr>
          <w:rFonts w:ascii="Times New Roman" w:hAnsi="Times New Roman" w:cs="Times New Roman"/>
          <w:sz w:val="20"/>
          <w:szCs w:val="20"/>
        </w:rPr>
        <w:t>,</w:t>
      </w:r>
      <w:r w:rsidRPr="002E1329">
        <w:rPr>
          <w:rFonts w:ascii="Times New Roman" w:hAnsi="Times New Roman" w:cs="Times New Roman"/>
          <w:sz w:val="20"/>
          <w:szCs w:val="20"/>
          <w:lang w:val="en-US"/>
        </w:rPr>
        <w:t xml:space="preserve"> pp. 30</w:t>
      </w:r>
    </w:p>
  </w:footnote>
  <w:footnote w:id="4">
    <w:p w14:paraId="6E7A44A4" w14:textId="038E2122" w:rsidR="00105F6F" w:rsidRPr="002E1329" w:rsidRDefault="00105F6F" w:rsidP="002E1329">
      <w:pPr>
        <w:pStyle w:val="FootnoteText"/>
        <w:rPr>
          <w:rFonts w:ascii="Times New Roman" w:hAnsi="Times New Roman" w:cs="Times New Roman"/>
        </w:rPr>
      </w:pPr>
      <w:r w:rsidRPr="002E1329">
        <w:rPr>
          <w:rStyle w:val="FootnoteReference"/>
          <w:rFonts w:ascii="Times New Roman" w:hAnsi="Times New Roman" w:cs="Times New Roman"/>
        </w:rPr>
        <w:footnoteRef/>
      </w:r>
      <w:r w:rsidRPr="002E1329">
        <w:rPr>
          <w:rFonts w:ascii="Times New Roman" w:hAnsi="Times New Roman" w:cs="Times New Roman"/>
        </w:rPr>
        <w:t xml:space="preserve"> </w:t>
      </w:r>
      <w:r w:rsidR="002E1329" w:rsidRPr="002E1329">
        <w:rPr>
          <w:rFonts w:ascii="Times New Roman" w:hAnsi="Times New Roman" w:cs="Times New Roman"/>
        </w:rPr>
        <w:t xml:space="preserve">Montgomery, Fiona. </w:t>
      </w:r>
      <w:r w:rsidR="002E1329" w:rsidRPr="002E1329">
        <w:rPr>
          <w:rFonts w:ascii="Times New Roman" w:hAnsi="Times New Roman" w:cs="Times New Roman"/>
          <w:i/>
          <w:iCs/>
        </w:rPr>
        <w:t>Women’s Rights (Struggles and Feminism in Britain C. 1770-1970</w:t>
      </w:r>
      <w:r w:rsidR="002E1329" w:rsidRPr="002E1329">
        <w:rPr>
          <w:rFonts w:ascii="Times New Roman" w:hAnsi="Times New Roman" w:cs="Times New Roman"/>
        </w:rPr>
        <w:t>.</w:t>
      </w:r>
      <w:r w:rsidR="002E1329" w:rsidRPr="002E1329">
        <w:rPr>
          <w:rFonts w:ascii="Times New Roman" w:hAnsi="Times New Roman" w:cs="Times New Roman"/>
        </w:rPr>
        <w:t>)</w:t>
      </w:r>
      <w:r w:rsidR="002E1329">
        <w:rPr>
          <w:rFonts w:ascii="Times New Roman" w:hAnsi="Times New Roman" w:cs="Times New Roman"/>
        </w:rPr>
        <w:t>.,</w:t>
      </w:r>
      <w:r w:rsidR="002E1329" w:rsidRPr="002E1329">
        <w:rPr>
          <w:rFonts w:ascii="Times New Roman" w:hAnsi="Times New Roman" w:cs="Times New Roman"/>
        </w:rPr>
        <w:t xml:space="preserve"> </w:t>
      </w:r>
      <w:r w:rsidRPr="002E1329">
        <w:rPr>
          <w:rFonts w:ascii="Times New Roman" w:hAnsi="Times New Roman" w:cs="Times New Roman"/>
          <w:lang w:val="en-US"/>
        </w:rPr>
        <w:t>pp. 7</w:t>
      </w:r>
    </w:p>
  </w:footnote>
  <w:footnote w:id="5">
    <w:p w14:paraId="75E94C22" w14:textId="6455D879" w:rsidR="00356048" w:rsidRPr="002E1329" w:rsidRDefault="00356048" w:rsidP="002E1329">
      <w:pPr>
        <w:pStyle w:val="FootnoteText"/>
        <w:rPr>
          <w:rFonts w:ascii="Times New Roman" w:hAnsi="Times New Roman" w:cs="Times New Roman"/>
          <w:lang w:val="en-US"/>
        </w:rPr>
      </w:pPr>
      <w:r w:rsidRPr="002E1329">
        <w:rPr>
          <w:rStyle w:val="FootnoteReference"/>
          <w:rFonts w:ascii="Times New Roman" w:hAnsi="Times New Roman" w:cs="Times New Roman"/>
        </w:rPr>
        <w:footnoteRef/>
      </w:r>
      <w:r w:rsidRPr="002E1329">
        <w:rPr>
          <w:rFonts w:ascii="Times New Roman" w:hAnsi="Times New Roman" w:cs="Times New Roman"/>
        </w:rPr>
        <w:t xml:space="preserve"> </w:t>
      </w:r>
      <w:r w:rsidR="009E22C7" w:rsidRPr="002E1329">
        <w:rPr>
          <w:rFonts w:ascii="Times New Roman" w:hAnsi="Times New Roman" w:cs="Times New Roman"/>
          <w:i/>
          <w:iCs/>
          <w:lang w:val="en-US"/>
        </w:rPr>
        <w:t>Ibid.,</w:t>
      </w:r>
      <w:r w:rsidRPr="002E1329">
        <w:rPr>
          <w:rFonts w:ascii="Times New Roman" w:hAnsi="Times New Roman" w:cs="Times New Roman"/>
          <w:lang w:val="en-US"/>
        </w:rPr>
        <w:t xml:space="preserve"> pp. 1</w:t>
      </w:r>
    </w:p>
  </w:footnote>
  <w:footnote w:id="6">
    <w:p w14:paraId="4F28CFE5" w14:textId="14EDF7B8" w:rsidR="00105F6F" w:rsidRPr="002E1329" w:rsidRDefault="00105F6F" w:rsidP="002E1329">
      <w:pPr>
        <w:pStyle w:val="FootnoteText"/>
        <w:rPr>
          <w:rFonts w:ascii="Times New Roman" w:hAnsi="Times New Roman" w:cs="Times New Roman"/>
          <w:lang w:val="en-US"/>
        </w:rPr>
      </w:pPr>
      <w:r w:rsidRPr="002E1329">
        <w:rPr>
          <w:rStyle w:val="FootnoteReference"/>
          <w:rFonts w:ascii="Times New Roman" w:hAnsi="Times New Roman" w:cs="Times New Roman"/>
        </w:rPr>
        <w:footnoteRef/>
      </w:r>
      <w:r w:rsidRPr="002E1329">
        <w:rPr>
          <w:rFonts w:ascii="Times New Roman" w:hAnsi="Times New Roman" w:cs="Times New Roman"/>
        </w:rPr>
        <w:t xml:space="preserve"> </w:t>
      </w:r>
      <w:r w:rsidR="009E22C7" w:rsidRPr="002E1329">
        <w:rPr>
          <w:rFonts w:ascii="Times New Roman" w:hAnsi="Times New Roman" w:cs="Times New Roman"/>
          <w:i/>
          <w:iCs/>
          <w:lang w:val="en-US"/>
        </w:rPr>
        <w:t>Ibid.,</w:t>
      </w:r>
      <w:r w:rsidRPr="002E1329">
        <w:rPr>
          <w:rFonts w:ascii="Times New Roman" w:hAnsi="Times New Roman" w:cs="Times New Roman"/>
          <w:lang w:val="en-US"/>
        </w:rPr>
        <w:t xml:space="preserve"> pp. 8</w:t>
      </w:r>
    </w:p>
  </w:footnote>
  <w:footnote w:id="7">
    <w:p w14:paraId="5982B3A7" w14:textId="6A503A7E" w:rsidR="009E22C7" w:rsidRPr="002E1329" w:rsidRDefault="009E22C7" w:rsidP="002E1329">
      <w:pPr>
        <w:spacing w:line="240" w:lineRule="auto"/>
        <w:rPr>
          <w:rFonts w:ascii="Times New Roman" w:hAnsi="Times New Roman" w:cs="Times New Roman"/>
          <w:sz w:val="20"/>
          <w:szCs w:val="20"/>
        </w:rPr>
      </w:pPr>
      <w:r w:rsidRPr="002E1329">
        <w:rPr>
          <w:rStyle w:val="FootnoteReference"/>
          <w:rFonts w:ascii="Times New Roman" w:hAnsi="Times New Roman" w:cs="Times New Roman"/>
          <w:sz w:val="20"/>
          <w:szCs w:val="20"/>
        </w:rPr>
        <w:footnoteRef/>
      </w:r>
      <w:r w:rsidRPr="002E1329">
        <w:rPr>
          <w:rFonts w:ascii="Times New Roman" w:hAnsi="Times New Roman" w:cs="Times New Roman"/>
          <w:sz w:val="20"/>
          <w:szCs w:val="20"/>
        </w:rPr>
        <w:t xml:space="preserve"> </w:t>
      </w:r>
      <w:r w:rsidR="002E1329" w:rsidRPr="002E1329">
        <w:rPr>
          <w:rFonts w:ascii="Times New Roman" w:hAnsi="Times New Roman" w:cs="Times New Roman"/>
          <w:sz w:val="20"/>
          <w:szCs w:val="20"/>
        </w:rPr>
        <w:t xml:space="preserve">Wollstonecraft, Mary. </w:t>
      </w:r>
      <w:r w:rsidR="002E1329" w:rsidRPr="002E1329">
        <w:rPr>
          <w:rFonts w:ascii="Times New Roman" w:hAnsi="Times New Roman" w:cs="Times New Roman"/>
          <w:i/>
          <w:iCs/>
          <w:sz w:val="20"/>
          <w:szCs w:val="20"/>
        </w:rPr>
        <w:t>Vindication of the Rights of Woman</w:t>
      </w:r>
      <w:r w:rsidR="002E1329" w:rsidRPr="002E1329">
        <w:rPr>
          <w:rFonts w:ascii="Times New Roman" w:hAnsi="Times New Roman" w:cs="Times New Roman"/>
          <w:sz w:val="20"/>
          <w:szCs w:val="20"/>
        </w:rPr>
        <w:t>. 1792.</w:t>
      </w:r>
      <w:r w:rsidR="002E1329" w:rsidRPr="002E1329">
        <w:rPr>
          <w:rFonts w:ascii="Times New Roman" w:hAnsi="Times New Roman" w:cs="Times New Roman"/>
          <w:sz w:val="20"/>
          <w:szCs w:val="20"/>
        </w:rPr>
        <w:t>,</w:t>
      </w:r>
      <w:r w:rsidRPr="002E1329">
        <w:rPr>
          <w:rFonts w:ascii="Times New Roman" w:hAnsi="Times New Roman" w:cs="Times New Roman"/>
          <w:sz w:val="20"/>
          <w:szCs w:val="20"/>
          <w:lang w:val="en-US"/>
        </w:rPr>
        <w:t xml:space="preserve"> pp. 20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DD32EF"/>
    <w:multiLevelType w:val="hybridMultilevel"/>
    <w:tmpl w:val="5E1E2954"/>
    <w:lvl w:ilvl="0" w:tplc="9530E8D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787478D"/>
    <w:multiLevelType w:val="hybridMultilevel"/>
    <w:tmpl w:val="5818F9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883173"/>
    <w:multiLevelType w:val="hybridMultilevel"/>
    <w:tmpl w:val="8F202D48"/>
    <w:lvl w:ilvl="0" w:tplc="753CE218">
      <w:numFmt w:val="bullet"/>
      <w:lvlText w:val="-"/>
      <w:lvlJc w:val="left"/>
      <w:pPr>
        <w:ind w:left="720" w:hanging="360"/>
      </w:pPr>
      <w:rPr>
        <w:rFonts w:ascii="Aptos" w:eastAsiaTheme="minorEastAsia" w:hAnsi="Aptos" w:cstheme="minorBidi"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E02E1A"/>
    <w:multiLevelType w:val="hybridMultilevel"/>
    <w:tmpl w:val="7056F406"/>
    <w:lvl w:ilvl="0" w:tplc="753CE218">
      <w:numFmt w:val="bullet"/>
      <w:lvlText w:val="-"/>
      <w:lvlJc w:val="left"/>
      <w:pPr>
        <w:ind w:left="720" w:hanging="360"/>
      </w:pPr>
      <w:rPr>
        <w:rFonts w:ascii="Aptos" w:eastAsiaTheme="minorEastAsia" w:hAnsi="Aptos" w:cstheme="minorBidi"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FA204F"/>
    <w:multiLevelType w:val="hybridMultilevel"/>
    <w:tmpl w:val="52F05C0E"/>
    <w:lvl w:ilvl="0" w:tplc="9530E8D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22193854">
    <w:abstractNumId w:val="1"/>
  </w:num>
  <w:num w:numId="2" w16cid:durableId="337074606">
    <w:abstractNumId w:val="3"/>
  </w:num>
  <w:num w:numId="3" w16cid:durableId="742333951">
    <w:abstractNumId w:val="2"/>
  </w:num>
  <w:num w:numId="4" w16cid:durableId="1940065961">
    <w:abstractNumId w:val="0"/>
  </w:num>
  <w:num w:numId="5" w16cid:durableId="23798328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A5F"/>
    <w:rsid w:val="000A41F0"/>
    <w:rsid w:val="00105F6F"/>
    <w:rsid w:val="002B05F3"/>
    <w:rsid w:val="002E1329"/>
    <w:rsid w:val="00356048"/>
    <w:rsid w:val="00362C0E"/>
    <w:rsid w:val="00451FD3"/>
    <w:rsid w:val="007D4DDD"/>
    <w:rsid w:val="009E22C7"/>
    <w:rsid w:val="00B25A5F"/>
    <w:rsid w:val="00C74C9D"/>
    <w:rsid w:val="00D80A53"/>
    <w:rsid w:val="00F0657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BB728A1"/>
  <w15:chartTrackingRefBased/>
  <w15:docId w15:val="{C7A633D5-0A3D-7A49-B19F-F1F625BE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5A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5A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5A5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5A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5A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5A5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5A5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5A5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5A5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5A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5A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5A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5A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5A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5A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5A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5A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5A5F"/>
    <w:rPr>
      <w:rFonts w:eastAsiaTheme="majorEastAsia" w:cstheme="majorBidi"/>
      <w:color w:val="272727" w:themeColor="text1" w:themeTint="D8"/>
    </w:rPr>
  </w:style>
  <w:style w:type="paragraph" w:styleId="Title">
    <w:name w:val="Title"/>
    <w:basedOn w:val="Normal"/>
    <w:next w:val="Normal"/>
    <w:link w:val="TitleChar"/>
    <w:uiPriority w:val="10"/>
    <w:qFormat/>
    <w:rsid w:val="00B25A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5A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5A5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5A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5A5F"/>
    <w:pPr>
      <w:spacing w:before="160"/>
      <w:jc w:val="center"/>
    </w:pPr>
    <w:rPr>
      <w:i/>
      <w:iCs/>
      <w:color w:val="404040" w:themeColor="text1" w:themeTint="BF"/>
    </w:rPr>
  </w:style>
  <w:style w:type="character" w:customStyle="1" w:styleId="QuoteChar">
    <w:name w:val="Quote Char"/>
    <w:basedOn w:val="DefaultParagraphFont"/>
    <w:link w:val="Quote"/>
    <w:uiPriority w:val="29"/>
    <w:rsid w:val="00B25A5F"/>
    <w:rPr>
      <w:i/>
      <w:iCs/>
      <w:color w:val="404040" w:themeColor="text1" w:themeTint="BF"/>
    </w:rPr>
  </w:style>
  <w:style w:type="paragraph" w:styleId="ListParagraph">
    <w:name w:val="List Paragraph"/>
    <w:basedOn w:val="Normal"/>
    <w:uiPriority w:val="34"/>
    <w:qFormat/>
    <w:rsid w:val="00B25A5F"/>
    <w:pPr>
      <w:ind w:left="720"/>
      <w:contextualSpacing/>
    </w:pPr>
  </w:style>
  <w:style w:type="character" w:styleId="IntenseEmphasis">
    <w:name w:val="Intense Emphasis"/>
    <w:basedOn w:val="DefaultParagraphFont"/>
    <w:uiPriority w:val="21"/>
    <w:qFormat/>
    <w:rsid w:val="00B25A5F"/>
    <w:rPr>
      <w:i/>
      <w:iCs/>
      <w:color w:val="0F4761" w:themeColor="accent1" w:themeShade="BF"/>
    </w:rPr>
  </w:style>
  <w:style w:type="paragraph" w:styleId="IntenseQuote">
    <w:name w:val="Intense Quote"/>
    <w:basedOn w:val="Normal"/>
    <w:next w:val="Normal"/>
    <w:link w:val="IntenseQuoteChar"/>
    <w:uiPriority w:val="30"/>
    <w:qFormat/>
    <w:rsid w:val="00B25A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5A5F"/>
    <w:rPr>
      <w:i/>
      <w:iCs/>
      <w:color w:val="0F4761" w:themeColor="accent1" w:themeShade="BF"/>
    </w:rPr>
  </w:style>
  <w:style w:type="character" w:styleId="IntenseReference">
    <w:name w:val="Intense Reference"/>
    <w:basedOn w:val="DefaultParagraphFont"/>
    <w:uiPriority w:val="32"/>
    <w:qFormat/>
    <w:rsid w:val="00B25A5F"/>
    <w:rPr>
      <w:b/>
      <w:bCs/>
      <w:smallCaps/>
      <w:color w:val="0F4761" w:themeColor="accent1" w:themeShade="BF"/>
      <w:spacing w:val="5"/>
    </w:rPr>
  </w:style>
  <w:style w:type="paragraph" w:styleId="FootnoteText">
    <w:name w:val="footnote text"/>
    <w:basedOn w:val="Normal"/>
    <w:link w:val="FootnoteTextChar"/>
    <w:uiPriority w:val="99"/>
    <w:semiHidden/>
    <w:unhideWhenUsed/>
    <w:rsid w:val="00B25A5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25A5F"/>
    <w:rPr>
      <w:sz w:val="20"/>
      <w:szCs w:val="20"/>
    </w:rPr>
  </w:style>
  <w:style w:type="character" w:styleId="FootnoteReference">
    <w:name w:val="footnote reference"/>
    <w:basedOn w:val="DefaultParagraphFont"/>
    <w:uiPriority w:val="99"/>
    <w:semiHidden/>
    <w:unhideWhenUsed/>
    <w:rsid w:val="00B25A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459169">
      <w:bodyDiv w:val="1"/>
      <w:marLeft w:val="0"/>
      <w:marRight w:val="0"/>
      <w:marTop w:val="0"/>
      <w:marBottom w:val="0"/>
      <w:divBdr>
        <w:top w:val="none" w:sz="0" w:space="0" w:color="auto"/>
        <w:left w:val="none" w:sz="0" w:space="0" w:color="auto"/>
        <w:bottom w:val="none" w:sz="0" w:space="0" w:color="auto"/>
        <w:right w:val="none" w:sz="0" w:space="0" w:color="auto"/>
      </w:divBdr>
      <w:divsChild>
        <w:div w:id="1047682385">
          <w:marLeft w:val="0"/>
          <w:marRight w:val="0"/>
          <w:marTop w:val="0"/>
          <w:marBottom w:val="0"/>
          <w:divBdr>
            <w:top w:val="none" w:sz="0" w:space="0" w:color="auto"/>
            <w:left w:val="none" w:sz="0" w:space="0" w:color="auto"/>
            <w:bottom w:val="none" w:sz="0" w:space="0" w:color="auto"/>
            <w:right w:val="none" w:sz="0" w:space="0" w:color="auto"/>
          </w:divBdr>
          <w:divsChild>
            <w:div w:id="171364749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22916032">
      <w:bodyDiv w:val="1"/>
      <w:marLeft w:val="0"/>
      <w:marRight w:val="0"/>
      <w:marTop w:val="0"/>
      <w:marBottom w:val="0"/>
      <w:divBdr>
        <w:top w:val="none" w:sz="0" w:space="0" w:color="auto"/>
        <w:left w:val="none" w:sz="0" w:space="0" w:color="auto"/>
        <w:bottom w:val="none" w:sz="0" w:space="0" w:color="auto"/>
        <w:right w:val="none" w:sz="0" w:space="0" w:color="auto"/>
      </w:divBdr>
      <w:divsChild>
        <w:div w:id="1934128253">
          <w:marLeft w:val="0"/>
          <w:marRight w:val="0"/>
          <w:marTop w:val="0"/>
          <w:marBottom w:val="0"/>
          <w:divBdr>
            <w:top w:val="none" w:sz="0" w:space="0" w:color="auto"/>
            <w:left w:val="none" w:sz="0" w:space="0" w:color="auto"/>
            <w:bottom w:val="none" w:sz="0" w:space="0" w:color="auto"/>
            <w:right w:val="none" w:sz="0" w:space="0" w:color="auto"/>
          </w:divBdr>
          <w:divsChild>
            <w:div w:id="20093988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46354566">
      <w:bodyDiv w:val="1"/>
      <w:marLeft w:val="0"/>
      <w:marRight w:val="0"/>
      <w:marTop w:val="0"/>
      <w:marBottom w:val="0"/>
      <w:divBdr>
        <w:top w:val="none" w:sz="0" w:space="0" w:color="auto"/>
        <w:left w:val="none" w:sz="0" w:space="0" w:color="auto"/>
        <w:bottom w:val="none" w:sz="0" w:space="0" w:color="auto"/>
        <w:right w:val="none" w:sz="0" w:space="0" w:color="auto"/>
      </w:divBdr>
      <w:divsChild>
        <w:div w:id="74935487">
          <w:marLeft w:val="0"/>
          <w:marRight w:val="0"/>
          <w:marTop w:val="0"/>
          <w:marBottom w:val="0"/>
          <w:divBdr>
            <w:top w:val="none" w:sz="0" w:space="0" w:color="auto"/>
            <w:left w:val="none" w:sz="0" w:space="0" w:color="auto"/>
            <w:bottom w:val="none" w:sz="0" w:space="0" w:color="auto"/>
            <w:right w:val="none" w:sz="0" w:space="0" w:color="auto"/>
          </w:divBdr>
          <w:divsChild>
            <w:div w:id="146808681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560992478">
      <w:bodyDiv w:val="1"/>
      <w:marLeft w:val="0"/>
      <w:marRight w:val="0"/>
      <w:marTop w:val="0"/>
      <w:marBottom w:val="0"/>
      <w:divBdr>
        <w:top w:val="none" w:sz="0" w:space="0" w:color="auto"/>
        <w:left w:val="none" w:sz="0" w:space="0" w:color="auto"/>
        <w:bottom w:val="none" w:sz="0" w:space="0" w:color="auto"/>
        <w:right w:val="none" w:sz="0" w:space="0" w:color="auto"/>
      </w:divBdr>
      <w:divsChild>
        <w:div w:id="1331912515">
          <w:marLeft w:val="0"/>
          <w:marRight w:val="0"/>
          <w:marTop w:val="0"/>
          <w:marBottom w:val="0"/>
          <w:divBdr>
            <w:top w:val="none" w:sz="0" w:space="0" w:color="auto"/>
            <w:left w:val="none" w:sz="0" w:space="0" w:color="auto"/>
            <w:bottom w:val="none" w:sz="0" w:space="0" w:color="auto"/>
            <w:right w:val="none" w:sz="0" w:space="0" w:color="auto"/>
          </w:divBdr>
          <w:divsChild>
            <w:div w:id="431323770">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566110939">
      <w:bodyDiv w:val="1"/>
      <w:marLeft w:val="0"/>
      <w:marRight w:val="0"/>
      <w:marTop w:val="0"/>
      <w:marBottom w:val="0"/>
      <w:divBdr>
        <w:top w:val="none" w:sz="0" w:space="0" w:color="auto"/>
        <w:left w:val="none" w:sz="0" w:space="0" w:color="auto"/>
        <w:bottom w:val="none" w:sz="0" w:space="0" w:color="auto"/>
        <w:right w:val="none" w:sz="0" w:space="0" w:color="auto"/>
      </w:divBdr>
      <w:divsChild>
        <w:div w:id="1606501098">
          <w:marLeft w:val="0"/>
          <w:marRight w:val="0"/>
          <w:marTop w:val="0"/>
          <w:marBottom w:val="0"/>
          <w:divBdr>
            <w:top w:val="none" w:sz="0" w:space="0" w:color="auto"/>
            <w:left w:val="none" w:sz="0" w:space="0" w:color="auto"/>
            <w:bottom w:val="none" w:sz="0" w:space="0" w:color="auto"/>
            <w:right w:val="none" w:sz="0" w:space="0" w:color="auto"/>
          </w:divBdr>
          <w:divsChild>
            <w:div w:id="137422757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038241266">
      <w:bodyDiv w:val="1"/>
      <w:marLeft w:val="0"/>
      <w:marRight w:val="0"/>
      <w:marTop w:val="0"/>
      <w:marBottom w:val="0"/>
      <w:divBdr>
        <w:top w:val="none" w:sz="0" w:space="0" w:color="auto"/>
        <w:left w:val="none" w:sz="0" w:space="0" w:color="auto"/>
        <w:bottom w:val="none" w:sz="0" w:space="0" w:color="auto"/>
        <w:right w:val="none" w:sz="0" w:space="0" w:color="auto"/>
      </w:divBdr>
      <w:divsChild>
        <w:div w:id="1338993927">
          <w:marLeft w:val="0"/>
          <w:marRight w:val="0"/>
          <w:marTop w:val="0"/>
          <w:marBottom w:val="0"/>
          <w:divBdr>
            <w:top w:val="none" w:sz="0" w:space="0" w:color="auto"/>
            <w:left w:val="none" w:sz="0" w:space="0" w:color="auto"/>
            <w:bottom w:val="none" w:sz="0" w:space="0" w:color="auto"/>
            <w:right w:val="none" w:sz="0" w:space="0" w:color="auto"/>
          </w:divBdr>
          <w:divsChild>
            <w:div w:id="153226402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234584317">
      <w:bodyDiv w:val="1"/>
      <w:marLeft w:val="0"/>
      <w:marRight w:val="0"/>
      <w:marTop w:val="0"/>
      <w:marBottom w:val="0"/>
      <w:divBdr>
        <w:top w:val="none" w:sz="0" w:space="0" w:color="auto"/>
        <w:left w:val="none" w:sz="0" w:space="0" w:color="auto"/>
        <w:bottom w:val="none" w:sz="0" w:space="0" w:color="auto"/>
        <w:right w:val="none" w:sz="0" w:space="0" w:color="auto"/>
      </w:divBdr>
      <w:divsChild>
        <w:div w:id="135925409">
          <w:marLeft w:val="0"/>
          <w:marRight w:val="0"/>
          <w:marTop w:val="0"/>
          <w:marBottom w:val="0"/>
          <w:divBdr>
            <w:top w:val="none" w:sz="0" w:space="0" w:color="auto"/>
            <w:left w:val="none" w:sz="0" w:space="0" w:color="auto"/>
            <w:bottom w:val="none" w:sz="0" w:space="0" w:color="auto"/>
            <w:right w:val="none" w:sz="0" w:space="0" w:color="auto"/>
          </w:divBdr>
          <w:divsChild>
            <w:div w:id="147760219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323466722">
      <w:bodyDiv w:val="1"/>
      <w:marLeft w:val="0"/>
      <w:marRight w:val="0"/>
      <w:marTop w:val="0"/>
      <w:marBottom w:val="0"/>
      <w:divBdr>
        <w:top w:val="none" w:sz="0" w:space="0" w:color="auto"/>
        <w:left w:val="none" w:sz="0" w:space="0" w:color="auto"/>
        <w:bottom w:val="none" w:sz="0" w:space="0" w:color="auto"/>
        <w:right w:val="none" w:sz="0" w:space="0" w:color="auto"/>
      </w:divBdr>
      <w:divsChild>
        <w:div w:id="1969779001">
          <w:marLeft w:val="0"/>
          <w:marRight w:val="0"/>
          <w:marTop w:val="0"/>
          <w:marBottom w:val="0"/>
          <w:divBdr>
            <w:top w:val="none" w:sz="0" w:space="0" w:color="auto"/>
            <w:left w:val="none" w:sz="0" w:space="0" w:color="auto"/>
            <w:bottom w:val="none" w:sz="0" w:space="0" w:color="auto"/>
            <w:right w:val="none" w:sz="0" w:space="0" w:color="auto"/>
          </w:divBdr>
          <w:divsChild>
            <w:div w:id="1921520527">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38278498">
      <w:bodyDiv w:val="1"/>
      <w:marLeft w:val="0"/>
      <w:marRight w:val="0"/>
      <w:marTop w:val="0"/>
      <w:marBottom w:val="0"/>
      <w:divBdr>
        <w:top w:val="none" w:sz="0" w:space="0" w:color="auto"/>
        <w:left w:val="none" w:sz="0" w:space="0" w:color="auto"/>
        <w:bottom w:val="none" w:sz="0" w:space="0" w:color="auto"/>
        <w:right w:val="none" w:sz="0" w:space="0" w:color="auto"/>
      </w:divBdr>
      <w:divsChild>
        <w:div w:id="469053699">
          <w:marLeft w:val="0"/>
          <w:marRight w:val="0"/>
          <w:marTop w:val="0"/>
          <w:marBottom w:val="0"/>
          <w:divBdr>
            <w:top w:val="none" w:sz="0" w:space="0" w:color="auto"/>
            <w:left w:val="none" w:sz="0" w:space="0" w:color="auto"/>
            <w:bottom w:val="none" w:sz="0" w:space="0" w:color="auto"/>
            <w:right w:val="none" w:sz="0" w:space="0" w:color="auto"/>
          </w:divBdr>
          <w:divsChild>
            <w:div w:id="170381886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76163685">
      <w:bodyDiv w:val="1"/>
      <w:marLeft w:val="0"/>
      <w:marRight w:val="0"/>
      <w:marTop w:val="0"/>
      <w:marBottom w:val="0"/>
      <w:divBdr>
        <w:top w:val="none" w:sz="0" w:space="0" w:color="auto"/>
        <w:left w:val="none" w:sz="0" w:space="0" w:color="auto"/>
        <w:bottom w:val="none" w:sz="0" w:space="0" w:color="auto"/>
        <w:right w:val="none" w:sz="0" w:space="0" w:color="auto"/>
      </w:divBdr>
      <w:divsChild>
        <w:div w:id="1047684773">
          <w:marLeft w:val="0"/>
          <w:marRight w:val="0"/>
          <w:marTop w:val="0"/>
          <w:marBottom w:val="0"/>
          <w:divBdr>
            <w:top w:val="none" w:sz="0" w:space="0" w:color="auto"/>
            <w:left w:val="none" w:sz="0" w:space="0" w:color="auto"/>
            <w:bottom w:val="none" w:sz="0" w:space="0" w:color="auto"/>
            <w:right w:val="none" w:sz="0" w:space="0" w:color="auto"/>
          </w:divBdr>
          <w:divsChild>
            <w:div w:id="1039937424">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586455556">
      <w:bodyDiv w:val="1"/>
      <w:marLeft w:val="0"/>
      <w:marRight w:val="0"/>
      <w:marTop w:val="0"/>
      <w:marBottom w:val="0"/>
      <w:divBdr>
        <w:top w:val="none" w:sz="0" w:space="0" w:color="auto"/>
        <w:left w:val="none" w:sz="0" w:space="0" w:color="auto"/>
        <w:bottom w:val="none" w:sz="0" w:space="0" w:color="auto"/>
        <w:right w:val="none" w:sz="0" w:space="0" w:color="auto"/>
      </w:divBdr>
      <w:divsChild>
        <w:div w:id="1748307735">
          <w:marLeft w:val="0"/>
          <w:marRight w:val="0"/>
          <w:marTop w:val="0"/>
          <w:marBottom w:val="0"/>
          <w:divBdr>
            <w:top w:val="none" w:sz="0" w:space="0" w:color="auto"/>
            <w:left w:val="none" w:sz="0" w:space="0" w:color="auto"/>
            <w:bottom w:val="none" w:sz="0" w:space="0" w:color="auto"/>
            <w:right w:val="none" w:sz="0" w:space="0" w:color="auto"/>
          </w:divBdr>
          <w:divsChild>
            <w:div w:id="118471261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2032565642">
      <w:bodyDiv w:val="1"/>
      <w:marLeft w:val="0"/>
      <w:marRight w:val="0"/>
      <w:marTop w:val="0"/>
      <w:marBottom w:val="0"/>
      <w:divBdr>
        <w:top w:val="none" w:sz="0" w:space="0" w:color="auto"/>
        <w:left w:val="none" w:sz="0" w:space="0" w:color="auto"/>
        <w:bottom w:val="none" w:sz="0" w:space="0" w:color="auto"/>
        <w:right w:val="none" w:sz="0" w:space="0" w:color="auto"/>
      </w:divBdr>
      <w:divsChild>
        <w:div w:id="557516103">
          <w:marLeft w:val="0"/>
          <w:marRight w:val="0"/>
          <w:marTop w:val="0"/>
          <w:marBottom w:val="0"/>
          <w:divBdr>
            <w:top w:val="none" w:sz="0" w:space="0" w:color="auto"/>
            <w:left w:val="none" w:sz="0" w:space="0" w:color="auto"/>
            <w:bottom w:val="none" w:sz="0" w:space="0" w:color="auto"/>
            <w:right w:val="none" w:sz="0" w:space="0" w:color="auto"/>
          </w:divBdr>
          <w:divsChild>
            <w:div w:id="67576463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file>

<file path=customXml/itemProps1.xml><?xml version="1.0" encoding="utf-8"?>
<ds:datastoreItem xmlns:ds="http://schemas.openxmlformats.org/officeDocument/2006/customXml" ds:itemID="{547CFFBE-AF1A-B448-AB70-D06E07C5F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5</Pages>
  <Words>612</Words>
  <Characters>3493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Terri M Jin</dc:creator>
  <cp:keywords/>
  <dc:description/>
  <cp:lastModifiedBy>Terri M Jin</cp:lastModifiedBy>
  <cp:revision>1</cp:revision>
  <dcterms:created xsi:type="dcterms:W3CDTF">2026-09-09T12:09:00Z</dcterms:created>
  <dcterms:modified xsi:type="dcterms:W3CDTF">2026-09-09T13:22:00Z</dcterms:modified>
</cp:coreProperties>
</file>