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80B08" w14:textId="77777777" w:rsidR="001C6749" w:rsidRPr="00D25A14" w:rsidRDefault="00000000" w:rsidP="00D25A14">
      <w:pPr>
        <w:pStyle w:val="Titel"/>
        <w:spacing w:after="40"/>
        <w:ind w:firstLine="708"/>
        <w:rPr>
          <w:lang w:val="en-US"/>
        </w:rPr>
      </w:pPr>
      <w:r w:rsidRPr="00D25A14">
        <w:rPr>
          <w:lang w:val="en-US"/>
        </w:rPr>
        <w:t>Response Post Guidelines</w:t>
      </w:r>
    </w:p>
    <w:p w14:paraId="45980B09" w14:textId="77777777" w:rsidR="001C6749" w:rsidRPr="00D25A14" w:rsidRDefault="00000000">
      <w:pPr>
        <w:spacing w:after="20"/>
        <w:rPr>
          <w:lang w:val="en-US"/>
        </w:rPr>
      </w:pPr>
      <w:r w:rsidRPr="00D25A14">
        <w:rPr>
          <w:i/>
          <w:iCs/>
          <w:color w:val="555555"/>
          <w:lang w:val="en-US"/>
        </w:rPr>
        <w:t>GERM B223-001, The Global Cold War: Two Germanies, One World</w:t>
      </w:r>
    </w:p>
    <w:p w14:paraId="45980B0A" w14:textId="77777777" w:rsidR="001C6749" w:rsidRPr="00D25A14" w:rsidRDefault="00000000">
      <w:pPr>
        <w:pBdr>
          <w:bottom w:val="single" w:sz="6" w:space="4" w:color="999999"/>
        </w:pBdr>
        <w:spacing w:after="200"/>
        <w:rPr>
          <w:lang w:val="en-US"/>
        </w:rPr>
      </w:pPr>
      <w:r w:rsidRPr="00D25A14">
        <w:rPr>
          <w:i/>
          <w:iCs/>
          <w:color w:val="555555"/>
          <w:lang w:val="en-US"/>
        </w:rPr>
        <w:t>Response Post Assignment (20% of course grade)</w:t>
      </w:r>
    </w:p>
    <w:p w14:paraId="45980B0B" w14:textId="77777777" w:rsidR="001C6749" w:rsidRPr="00D25A14" w:rsidRDefault="00000000">
      <w:pPr>
        <w:pStyle w:val="berschrift1"/>
        <w:spacing w:before="100" w:after="120"/>
        <w:rPr>
          <w:lang w:val="en-US"/>
        </w:rPr>
      </w:pPr>
      <w:r w:rsidRPr="00D25A14">
        <w:rPr>
          <w:lang w:val="en-US"/>
        </w:rPr>
        <w:t>The Assignment</w:t>
      </w:r>
    </w:p>
    <w:p w14:paraId="26E22AE8" w14:textId="7CA67E4D" w:rsidR="00C4033A" w:rsidRDefault="00000000">
      <w:pPr>
        <w:spacing w:after="120"/>
        <w:rPr>
          <w:lang w:val="en-US"/>
        </w:rPr>
      </w:pPr>
      <w:r w:rsidRPr="00D25A14">
        <w:rPr>
          <w:lang w:val="en-US"/>
        </w:rPr>
        <w:t xml:space="preserve">Over the semester, you will write </w:t>
      </w:r>
      <w:r w:rsidRPr="00D25A14">
        <w:rPr>
          <w:b/>
          <w:bCs/>
          <w:lang w:val="en-US"/>
        </w:rPr>
        <w:t>twelve Response Posts</w:t>
      </w:r>
      <w:r w:rsidRPr="00D25A14">
        <w:rPr>
          <w:lang w:val="en-US"/>
        </w:rPr>
        <w:t xml:space="preserve">, each </w:t>
      </w:r>
      <w:r w:rsidRPr="00D25A14">
        <w:rPr>
          <w:b/>
          <w:bCs/>
          <w:lang w:val="en-US"/>
        </w:rPr>
        <w:t>200–300 words</w:t>
      </w:r>
      <w:r w:rsidRPr="00D25A14">
        <w:rPr>
          <w:lang w:val="en-US"/>
        </w:rPr>
        <w:t xml:space="preserve">, due by </w:t>
      </w:r>
      <w:r w:rsidRPr="00D25A14">
        <w:rPr>
          <w:b/>
          <w:bCs/>
          <w:lang w:val="en-US"/>
        </w:rPr>
        <w:t>midnight before the class day you select</w:t>
      </w:r>
      <w:r w:rsidRPr="00D25A14">
        <w:rPr>
          <w:lang w:val="en-US"/>
        </w:rPr>
        <w:t xml:space="preserve">. </w:t>
      </w:r>
      <w:r w:rsidR="00C4033A">
        <w:rPr>
          <w:lang w:val="en-US"/>
        </w:rPr>
        <w:t xml:space="preserve">I will allow you to upload the paper until 8:59 the same day for those of you who like to do homework in the morning. But do not try to let this become a bad habit. </w:t>
      </w:r>
      <w:r w:rsidR="00C4033A" w:rsidRPr="00C4033A">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r w:rsidR="00C4033A">
        <w:rPr>
          <w:lang w:val="en-US"/>
        </w:rPr>
        <w:t xml:space="preserve"> </w:t>
      </w:r>
    </w:p>
    <w:p w14:paraId="45980B0C" w14:textId="488EBC7F" w:rsidR="001C6749" w:rsidRPr="00C4033A" w:rsidRDefault="00000000">
      <w:pPr>
        <w:spacing w:after="120"/>
        <w:rPr>
          <w:lang w:val="en-US"/>
        </w:rPr>
      </w:pPr>
      <w:r w:rsidRPr="00C4033A">
        <w:rPr>
          <w:lang w:val="en-US"/>
        </w:rPr>
        <w:t>Each post must do one of two things:</w:t>
      </w:r>
    </w:p>
    <w:p w14:paraId="45980B0D" w14:textId="77777777" w:rsidR="001C6749" w:rsidRPr="00D25A14" w:rsidRDefault="00000000">
      <w:pPr>
        <w:pStyle w:val="Listenabsatz"/>
        <w:numPr>
          <w:ilvl w:val="0"/>
          <w:numId w:val="2"/>
        </w:numPr>
        <w:spacing w:after="60"/>
        <w:rPr>
          <w:lang w:val="en-US"/>
        </w:rPr>
      </w:pPr>
      <w:r w:rsidRPr="00D25A14">
        <w:rPr>
          <w:lang w:val="en-US"/>
        </w:rPr>
        <w:t>Make a contestable analytical claim, OR</w:t>
      </w:r>
    </w:p>
    <w:p w14:paraId="45980B0E" w14:textId="77777777" w:rsidR="001C6749" w:rsidRPr="00D25A14" w:rsidRDefault="00000000">
      <w:pPr>
        <w:pStyle w:val="Listenabsatz"/>
        <w:numPr>
          <w:ilvl w:val="0"/>
          <w:numId w:val="2"/>
        </w:numPr>
        <w:spacing w:after="200"/>
        <w:rPr>
          <w:lang w:val="en-US"/>
        </w:rPr>
      </w:pPr>
      <w:r w:rsidRPr="00D25A14">
        <w:rPr>
          <w:lang w:val="en-US"/>
        </w:rPr>
        <w:t>Pose a genuine interpretive question.</w:t>
      </w:r>
    </w:p>
    <w:p w14:paraId="45980B0F" w14:textId="77777777" w:rsidR="001C6749" w:rsidRPr="00D25A14" w:rsidRDefault="00000000">
      <w:pPr>
        <w:pStyle w:val="berschrift1"/>
        <w:spacing w:before="200" w:after="120"/>
        <w:rPr>
          <w:lang w:val="en-US"/>
        </w:rPr>
      </w:pPr>
      <w:r w:rsidRPr="00D25A14">
        <w:rPr>
          <w:lang w:val="en-US"/>
        </w:rPr>
        <w:t>What This Means</w:t>
      </w:r>
    </w:p>
    <w:p w14:paraId="45980B10" w14:textId="77777777" w:rsidR="001C6749" w:rsidRPr="00D25A14" w:rsidRDefault="00000000">
      <w:pPr>
        <w:spacing w:after="120"/>
        <w:rPr>
          <w:lang w:val="en-US"/>
        </w:rPr>
      </w:pPr>
      <w:r w:rsidRPr="00D25A14">
        <w:rPr>
          <w:b/>
          <w:bCs/>
          <w:lang w:val="en-US"/>
        </w:rPr>
        <w:t xml:space="preserve">A contestable analytical claim </w:t>
      </w:r>
      <w:r w:rsidRPr="00D25A14">
        <w:rPr>
          <w:lang w:val="en-US"/>
        </w:rPr>
        <w:t xml:space="preserve">is a position a reasonable, well-informed classmate could disagree with. It is not a summary of the reading, not a restatement of </w:t>
      </w:r>
      <w:r w:rsidRPr="00D25A14">
        <w:rPr>
          <w:i/>
          <w:iCs/>
          <w:lang w:val="en-US"/>
        </w:rPr>
        <w:t>what</w:t>
      </w:r>
      <w:r w:rsidRPr="00D25A14">
        <w:rPr>
          <w:lang w:val="en-US"/>
        </w:rPr>
        <w:t xml:space="preserve"> happened, and not a claim so obvious that no one would push back on it. It takes a stance and defends it with a short chain of reasoning or evidence.</w:t>
      </w:r>
    </w:p>
    <w:p w14:paraId="45980B11" w14:textId="000D96FB" w:rsidR="001C6749" w:rsidRDefault="00000000">
      <w:pPr>
        <w:spacing w:after="200"/>
        <w:rPr>
          <w:lang w:val="en-US"/>
        </w:rPr>
      </w:pPr>
      <w:r w:rsidRPr="00D25A14">
        <w:rPr>
          <w:b/>
          <w:bCs/>
          <w:lang w:val="en-US"/>
        </w:rPr>
        <w:t xml:space="preserve">A genuine interpretive question </w:t>
      </w:r>
      <w:r w:rsidRPr="00D25A14">
        <w:rPr>
          <w:lang w:val="en-US"/>
        </w:rPr>
        <w:t>is one you do not already know the answer to. It opens up real interpretive tension in the material, rather than asking something with a lookup answer (for example, "What year was Potsdam?").</w:t>
      </w:r>
      <w:r w:rsidR="00C4033A">
        <w:rPr>
          <w:lang w:val="en-US"/>
        </w:rPr>
        <w:t xml:space="preserve"> </w:t>
      </w:r>
      <w:r w:rsidR="00C4033A">
        <w:rPr>
          <w:lang w:val="en-US"/>
        </w:rPr>
        <w:br/>
      </w:r>
    </w:p>
    <w:p w14:paraId="708ADD01" w14:textId="2A2E2B14" w:rsidR="00C4033A" w:rsidRPr="00D25A14" w:rsidRDefault="00C4033A">
      <w:pPr>
        <w:spacing w:after="200"/>
        <w:rPr>
          <w:lang w:val="en-US"/>
        </w:rPr>
      </w:pPr>
      <w:r>
        <w:rPr>
          <w:lang w:val="en-US"/>
        </w:rPr>
        <w:t>As you have read what Gaddis and Westad have written you might use one of their interpretations as a starting point.</w:t>
      </w:r>
    </w:p>
    <w:p w14:paraId="45980B12" w14:textId="77777777" w:rsidR="001C6749" w:rsidRPr="00C4033A" w:rsidRDefault="00000000">
      <w:pPr>
        <w:pStyle w:val="berschrift1"/>
        <w:spacing w:before="200" w:after="120"/>
        <w:rPr>
          <w:lang w:val="en-US"/>
        </w:rPr>
      </w:pPr>
      <w:r w:rsidRPr="00C4033A">
        <w:rPr>
          <w:lang w:val="en-US"/>
        </w:rPr>
        <w:t>What Will NOT Count</w:t>
      </w:r>
    </w:p>
    <w:p w14:paraId="45980B13" w14:textId="77777777" w:rsidR="001C6749" w:rsidRPr="00D25A14" w:rsidRDefault="00000000">
      <w:pPr>
        <w:pStyle w:val="Listenabsatz"/>
        <w:numPr>
          <w:ilvl w:val="0"/>
          <w:numId w:val="3"/>
        </w:numPr>
        <w:spacing w:after="40"/>
        <w:rPr>
          <w:lang w:val="en-US"/>
        </w:rPr>
      </w:pPr>
      <w:r w:rsidRPr="00D25A14">
        <w:rPr>
          <w:lang w:val="en-US"/>
        </w:rPr>
        <w:t>A summary of the assigned reading or lecture</w:t>
      </w:r>
    </w:p>
    <w:p w14:paraId="45980B14" w14:textId="77777777" w:rsidR="001C6749" w:rsidRPr="00D25A14" w:rsidRDefault="00000000">
      <w:pPr>
        <w:pStyle w:val="Listenabsatz"/>
        <w:numPr>
          <w:ilvl w:val="0"/>
          <w:numId w:val="3"/>
        </w:numPr>
        <w:spacing w:after="40"/>
        <w:rPr>
          <w:lang w:val="en-US"/>
        </w:rPr>
      </w:pPr>
      <w:r w:rsidRPr="00D25A14">
        <w:rPr>
          <w:lang w:val="en-US"/>
        </w:rPr>
        <w:t>A purely factual/descriptive statement with no interpretive stake</w:t>
      </w:r>
    </w:p>
    <w:p w14:paraId="45980B15" w14:textId="77777777" w:rsidR="001C6749" w:rsidRPr="00D25A14" w:rsidRDefault="00000000">
      <w:pPr>
        <w:pStyle w:val="Listenabsatz"/>
        <w:numPr>
          <w:ilvl w:val="0"/>
          <w:numId w:val="3"/>
        </w:numPr>
        <w:spacing w:after="40"/>
        <w:rPr>
          <w:lang w:val="en-US"/>
        </w:rPr>
      </w:pPr>
      <w:r w:rsidRPr="00D25A14">
        <w:rPr>
          <w:lang w:val="en-US"/>
        </w:rPr>
        <w:t>A question with an obvious or easily looked-up answer</w:t>
      </w:r>
    </w:p>
    <w:p w14:paraId="45980B16" w14:textId="77777777" w:rsidR="001C6749" w:rsidRPr="00D25A14" w:rsidRDefault="00000000">
      <w:pPr>
        <w:pStyle w:val="Listenabsatz"/>
        <w:numPr>
          <w:ilvl w:val="0"/>
          <w:numId w:val="3"/>
        </w:numPr>
        <w:spacing w:after="200"/>
        <w:rPr>
          <w:lang w:val="en-US"/>
        </w:rPr>
      </w:pPr>
      <w:r w:rsidRPr="00D25A14">
        <w:rPr>
          <w:lang w:val="en-US"/>
        </w:rPr>
        <w:t>A post outside the 200–300 word range or submitted after the deadline</w:t>
      </w:r>
    </w:p>
    <w:p w14:paraId="45980B17" w14:textId="483762FA" w:rsidR="001C6749" w:rsidRPr="00D25A14" w:rsidRDefault="00000000">
      <w:pPr>
        <w:pStyle w:val="berschrift1"/>
        <w:pageBreakBefore/>
        <w:spacing w:before="200" w:after="120"/>
        <w:rPr>
          <w:lang w:val="en-US"/>
        </w:rPr>
      </w:pPr>
      <w:r w:rsidRPr="00D25A14">
        <w:rPr>
          <w:lang w:val="en-US"/>
        </w:rPr>
        <w:lastRenderedPageBreak/>
        <w:t>Topic: The Potsdam Agreement &amp; the Marshall Plan</w:t>
      </w:r>
    </w:p>
    <w:p w14:paraId="45980B18" w14:textId="77777777" w:rsidR="001C6749" w:rsidRPr="00D25A14" w:rsidRDefault="00000000">
      <w:pPr>
        <w:spacing w:after="200"/>
        <w:rPr>
          <w:lang w:val="en-US"/>
        </w:rPr>
      </w:pPr>
      <w:r w:rsidRPr="00D25A14">
        <w:rPr>
          <w:lang w:val="en-US"/>
        </w:rPr>
        <w:t>Four model posts below illustrate both options for both topics. Each stays within 200 to 300 words and ends by inviting disagreement or discussion rather than closing the topic down.</w:t>
      </w:r>
    </w:p>
    <w:p w14:paraId="45980B19" w14:textId="77777777" w:rsidR="001C6749" w:rsidRPr="00D25A14" w:rsidRDefault="00000000">
      <w:pPr>
        <w:pStyle w:val="berschrift2"/>
        <w:spacing w:before="100" w:after="120"/>
        <w:rPr>
          <w:lang w:val="en-US"/>
        </w:rPr>
      </w:pPr>
      <w:r w:rsidRPr="00D25A14">
        <w:rPr>
          <w:lang w:val="en-US"/>
        </w:rPr>
        <w:t>The Potsdam Agreement</w:t>
      </w:r>
    </w:p>
    <w:p w14:paraId="45980B1A" w14:textId="77777777" w:rsidR="001C6749" w:rsidRPr="00D25A14" w:rsidRDefault="00000000">
      <w:pPr>
        <w:spacing w:after="100"/>
        <w:rPr>
          <w:lang w:val="en-US"/>
        </w:rPr>
      </w:pPr>
      <w:r w:rsidRPr="00D25A14">
        <w:rPr>
          <w:b/>
          <w:bCs/>
          <w:u w:val="single"/>
          <w:lang w:val="en-US"/>
        </w:rPr>
        <w:t xml:space="preserve">1. Contestable Claim </w:t>
      </w:r>
      <w:r w:rsidRPr="00D25A14">
        <w:rPr>
          <w:i/>
          <w:iCs/>
          <w:color w:val="777777"/>
          <w:lang w:val="en-US"/>
        </w:rPr>
        <w:t>(254 words)</w:t>
      </w:r>
    </w:p>
    <w:p w14:paraId="45980B1B" w14:textId="77777777" w:rsidR="001C6749" w:rsidRPr="00D25A14" w:rsidRDefault="00000000">
      <w:pPr>
        <w:shd w:val="clear" w:color="auto" w:fill="F2F2F2"/>
        <w:spacing w:after="240"/>
        <w:rPr>
          <w:lang w:val="en-US"/>
        </w:rPr>
      </w:pPr>
      <w:r w:rsidRPr="00D25A14">
        <w:rPr>
          <w:lang w:val="en-US"/>
        </w:rPr>
        <w:t>The Potsdam Agreement is usually read as the moment the wartime alliance began fracturing, but it can be argued instead that Potsdam delayed the break rather than caused it. The agreement settled almost nothing on substance. Reparations were handled through a zonal formula that let each occupying power extract resources from its own territory, with a smaller cross-zone allocation to the Soviets, and the question of Germany's long-term political future was postponed entirely. This vagueness was not compromise. It was avoidance dressed up as agreement. Truman, Attlee, and Stalin all had reasons to leave Potsdam claiming success: domestic audiences expected continuity with the wartime coalition, and none of the three governments was ready to admit that cooperation had already become unworkable. The result was a document that preserved the appearance of Allied unity while allowing each power to pursue incompatible policies on the ground, from currency reform to industrial dismantlement to political organizing in their respective zones. If Potsdam had forced a real reckoning over how a defeated Germany would actually be governed, the split between East and West might have surfaced almost immediately, or might have been avoided through harder bargaining. Instead the ambiguity bought roughly a year and a half of nominal cooperation through the Allied Control Council before it collapsed. Reading Potsdam as the start of the Cold War gives the conference too much causal weight. It was not a rupture. It was a postponement, and the postponement is part of why the eventual division, when it came, felt so abrupt.</w:t>
      </w:r>
    </w:p>
    <w:p w14:paraId="45980B1C" w14:textId="77777777" w:rsidR="001C6749" w:rsidRPr="00D25A14" w:rsidRDefault="00000000">
      <w:pPr>
        <w:spacing w:after="100"/>
        <w:rPr>
          <w:lang w:val="en-US"/>
        </w:rPr>
      </w:pPr>
      <w:r w:rsidRPr="00D25A14">
        <w:rPr>
          <w:b/>
          <w:bCs/>
          <w:u w:val="single"/>
          <w:lang w:val="en-US"/>
        </w:rPr>
        <w:t xml:space="preserve">2. Interpretive Question </w:t>
      </w:r>
      <w:r w:rsidRPr="00D25A14">
        <w:rPr>
          <w:i/>
          <w:iCs/>
          <w:color w:val="777777"/>
          <w:lang w:val="en-US"/>
        </w:rPr>
        <w:t>(250 words)</w:t>
      </w:r>
    </w:p>
    <w:p w14:paraId="45980B1D" w14:textId="77777777" w:rsidR="001C6749" w:rsidRPr="00D25A14" w:rsidRDefault="00000000">
      <w:pPr>
        <w:shd w:val="clear" w:color="auto" w:fill="F2F2F2"/>
        <w:spacing w:after="100"/>
        <w:rPr>
          <w:lang w:val="en-US"/>
        </w:rPr>
      </w:pPr>
      <w:r w:rsidRPr="00D25A14">
        <w:rPr>
          <w:lang w:val="en-US"/>
        </w:rPr>
        <w:t>How much did the personnel change at Potsdam actually shape the outcome, and how differently might the conference have gone under a different American president? Roosevelt, who had built a working relationship with Stalin across three years of wartime summits, died in April 1945, only weeks before the war in Europe ended. Truman arrived at Potsdam in July with almost no direct experience of high-level diplomacy with the Soviets and reportedly distrusted Stalin from the outset. He also arrived already aware, from the Trinity test results that reached him mid-conference, that the United States held a weapon no other power possessed. It is tempting to treat Potsdam's failures as structural, the inevitable result of incompatible postwar visions between capitalist and communist powers. But structural explanations can understate how much individual judgment, trust, and timing mattered in specific rooms. Would Roosevelt, had he lived, have pushed harder for a genuinely unified German administration, given his stated commitment to continued great-power cooperation through what became the United Nations? Or was the coalition already so strained by spring 1945, over Poland's postwar government and the pace of Soviet territorial consolidation in Eastern Europe, that any American president would have arrived at Potsdam prepared for confrontation rather than partnership? This is not simply a counterfactual parlor game. It bears on the larger question of whether the Cold War was structurally determined by the two systems' incompatibility, or contingent on choices, personalities, and a handful of decisions made in the first months after Roosevelt's death.</w:t>
      </w:r>
    </w:p>
    <w:p w14:paraId="45980B1E" w14:textId="77777777" w:rsidR="001C6749" w:rsidRPr="00D25A14" w:rsidRDefault="00000000">
      <w:pPr>
        <w:pStyle w:val="berschrift2"/>
        <w:pageBreakBefore/>
        <w:spacing w:before="200" w:after="120"/>
        <w:rPr>
          <w:lang w:val="en-US"/>
        </w:rPr>
      </w:pPr>
      <w:r w:rsidRPr="00D25A14">
        <w:rPr>
          <w:lang w:val="en-US"/>
        </w:rPr>
        <w:lastRenderedPageBreak/>
        <w:t>The Marshall Plan</w:t>
      </w:r>
    </w:p>
    <w:p w14:paraId="45980B1F" w14:textId="77777777" w:rsidR="001C6749" w:rsidRPr="00D25A14" w:rsidRDefault="00000000">
      <w:pPr>
        <w:spacing w:after="100"/>
        <w:rPr>
          <w:lang w:val="en-US"/>
        </w:rPr>
      </w:pPr>
      <w:r w:rsidRPr="00D25A14">
        <w:rPr>
          <w:b/>
          <w:bCs/>
          <w:u w:val="single"/>
          <w:lang w:val="en-US"/>
        </w:rPr>
        <w:t xml:space="preserve">1. Contestable Claim </w:t>
      </w:r>
      <w:r w:rsidRPr="00D25A14">
        <w:rPr>
          <w:i/>
          <w:iCs/>
          <w:color w:val="777777"/>
          <w:lang w:val="en-US"/>
        </w:rPr>
        <w:t>(240 words)</w:t>
      </w:r>
    </w:p>
    <w:p w14:paraId="45980B20" w14:textId="77777777" w:rsidR="001C6749" w:rsidRPr="00D25A14" w:rsidRDefault="00000000">
      <w:pPr>
        <w:shd w:val="clear" w:color="auto" w:fill="F2F2F2"/>
        <w:spacing w:after="240"/>
        <w:rPr>
          <w:lang w:val="en-US"/>
        </w:rPr>
      </w:pPr>
      <w:r w:rsidRPr="00D25A14">
        <w:rPr>
          <w:lang w:val="en-US"/>
        </w:rPr>
        <w:t>The Marshall Plan is usually presented as a generous, purely economic response to European suffering, but the evidence supports a stronger claim: the plan functioned as a containment strategy from the start, with humanitarian language serving mainly to make that strategy politically sellable at home and abroad. The timing alone is suggestive. Marshall's Harvard speech in June 1947 came only months after Truman had already committed the United States to a general policy of resisting Soviet expansion, and George Kennan, the architect of containment thinking, was directly involved in shaping the plan's early design. More telling is how the offer was structured. The United States did invite Soviet and Eastern European participation, but on terms, including open reporting of national economic data and a coordinated multilateral planning process, that no government under Moscow's control could plausibly accept without surrendering real sovereignty over its own economy. Planners in Washington understood this. The offer let the United States blame Stalin publicly for the division of Europe while achieving the same practical outcome, a Western European bloc rebuilt on American terms and insulated from Soviet economic influence, that a more openly ideological policy would have produced anyway. None of this means the humanitarian stakes were fabricated. Postwar Europe genuinely faced food shortages, currency collapse, and the real possibility of political upheaval. But treating the plan as economics first and geopolitics second gets the priority backwards. Recovery was the mechanism. Containment was the objective.</w:t>
      </w:r>
    </w:p>
    <w:p w14:paraId="45980B21" w14:textId="77777777" w:rsidR="001C6749" w:rsidRPr="00D25A14" w:rsidRDefault="00000000">
      <w:pPr>
        <w:spacing w:after="100"/>
        <w:rPr>
          <w:lang w:val="en-US"/>
        </w:rPr>
      </w:pPr>
      <w:r w:rsidRPr="00D25A14">
        <w:rPr>
          <w:b/>
          <w:bCs/>
          <w:u w:val="single"/>
          <w:lang w:val="en-US"/>
        </w:rPr>
        <w:t xml:space="preserve">2. Interpretive Question </w:t>
      </w:r>
      <w:r w:rsidRPr="00D25A14">
        <w:rPr>
          <w:i/>
          <w:iCs/>
          <w:color w:val="777777"/>
          <w:lang w:val="en-US"/>
        </w:rPr>
        <w:t>(250 words)</w:t>
      </w:r>
    </w:p>
    <w:p w14:paraId="45980B22" w14:textId="77777777" w:rsidR="001C6749" w:rsidRPr="00D25A14" w:rsidRDefault="00000000">
      <w:pPr>
        <w:shd w:val="clear" w:color="auto" w:fill="F2F2F2"/>
        <w:spacing w:after="200"/>
        <w:rPr>
          <w:lang w:val="en-US"/>
        </w:rPr>
      </w:pPr>
      <w:r w:rsidRPr="00D25A14">
        <w:rPr>
          <w:lang w:val="en-US"/>
        </w:rPr>
        <w:t>Did the Marshall Plan actually save Western Europe from communist takeover, or has its role in that outcome been overstated by Cold War narratives that needed a clear success story? The standard account credits Marshall aid with stabilizing economies in France and Italy just as communist parties were gaining electoral strength, thereby preventing them from winning power democratically or through unrest. But economic historians have long debated how much of Western Europe's recovery in these years was actually driven by American aid versus factors that would have produced growth regardless, including pent-up consumer demand, existing industrial infrastructure that had survived bombing better than expected, and monetary and trade reforms that some countries were pursuing independently. If recovery was already substantially underway by 1947 for reasons unrelated to American assistance, then the Marshall Plan's role may have been more about accelerating and shaping an outcome that was reasonably likely anyway, rather than single-handedly preventing collapse. This matters for how we judge the plan's ambitions. If Western Europe's stability was never as fragile as American planners believed, was the containment framing partly a product of genuine uncertainty in 1947, when no one could be sure how bad things would get, or did it serve other purposes, like justifying a much larger and more permanent American role in European affairs than the immediate crisis required? How should historians weigh a policy's stated emergency rationale against evidence, visible mainly in hindsight, that the emergency may have been less severe than believed at the time?</w:t>
      </w:r>
    </w:p>
    <w:p w14:paraId="45980B23" w14:textId="77777777" w:rsidR="001C6749" w:rsidRDefault="00000000">
      <w:pPr>
        <w:pStyle w:val="berschrift1"/>
        <w:pageBreakBefore/>
        <w:spacing w:before="200" w:after="120"/>
      </w:pPr>
      <w:r>
        <w:lastRenderedPageBreak/>
        <w:t xml:space="preserve">Quick Checklist </w:t>
      </w:r>
      <w:proofErr w:type="spellStart"/>
      <w:r>
        <w:t>Before</w:t>
      </w:r>
      <w:proofErr w:type="spellEnd"/>
      <w:r>
        <w:t xml:space="preserve"> </w:t>
      </w:r>
      <w:proofErr w:type="spellStart"/>
      <w:r>
        <w:t>You</w:t>
      </w:r>
      <w:proofErr w:type="spellEnd"/>
      <w:r>
        <w:t xml:space="preserve"> </w:t>
      </w:r>
      <w:proofErr w:type="spellStart"/>
      <w:r>
        <w:t>Submit</w:t>
      </w:r>
      <w:proofErr w:type="spellEnd"/>
    </w:p>
    <w:p w14:paraId="45980B24" w14:textId="77777777" w:rsidR="001C6749" w:rsidRDefault="00000000">
      <w:pPr>
        <w:pStyle w:val="Listenabsatz"/>
        <w:numPr>
          <w:ilvl w:val="0"/>
          <w:numId w:val="3"/>
        </w:numPr>
        <w:spacing w:after="40"/>
      </w:pPr>
      <w:proofErr w:type="spellStart"/>
      <w:r>
        <w:t>Is</w:t>
      </w:r>
      <w:proofErr w:type="spellEnd"/>
      <w:r>
        <w:t xml:space="preserve"> </w:t>
      </w:r>
      <w:proofErr w:type="spellStart"/>
      <w:r>
        <w:t>my</w:t>
      </w:r>
      <w:proofErr w:type="spellEnd"/>
      <w:r>
        <w:t xml:space="preserve"> </w:t>
      </w:r>
      <w:proofErr w:type="spellStart"/>
      <w:r>
        <w:t>post</w:t>
      </w:r>
      <w:proofErr w:type="spellEnd"/>
      <w:r>
        <w:t xml:space="preserve"> 200–300 </w:t>
      </w:r>
      <w:proofErr w:type="spellStart"/>
      <w:r>
        <w:t>words</w:t>
      </w:r>
      <w:proofErr w:type="spellEnd"/>
      <w:r>
        <w:t>?</w:t>
      </w:r>
    </w:p>
    <w:p w14:paraId="45980B25" w14:textId="77777777" w:rsidR="001C6749" w:rsidRPr="00D25A14" w:rsidRDefault="00000000">
      <w:pPr>
        <w:pStyle w:val="Listenabsatz"/>
        <w:numPr>
          <w:ilvl w:val="0"/>
          <w:numId w:val="3"/>
        </w:numPr>
        <w:spacing w:after="40"/>
        <w:rPr>
          <w:lang w:val="en-US"/>
        </w:rPr>
      </w:pPr>
      <w:r w:rsidRPr="00D25A14">
        <w:rPr>
          <w:lang w:val="en-US"/>
        </w:rPr>
        <w:t>Have I taken a position or asked a real question, not just summarized it?</w:t>
      </w:r>
    </w:p>
    <w:p w14:paraId="45980B26" w14:textId="77777777" w:rsidR="001C6749" w:rsidRPr="00D25A14" w:rsidRDefault="00000000">
      <w:pPr>
        <w:pStyle w:val="Listenabsatz"/>
        <w:numPr>
          <w:ilvl w:val="0"/>
          <w:numId w:val="3"/>
        </w:numPr>
        <w:spacing w:after="40"/>
        <w:rPr>
          <w:lang w:val="en-US"/>
        </w:rPr>
      </w:pPr>
      <w:r w:rsidRPr="00D25A14">
        <w:rPr>
          <w:lang w:val="en-US"/>
        </w:rPr>
        <w:t>Could a classmate reasonably disagree with me, or genuinely not know the answer to my question?</w:t>
      </w:r>
    </w:p>
    <w:p w14:paraId="45980B27" w14:textId="77777777" w:rsidR="001C6749" w:rsidRPr="00D25A14" w:rsidRDefault="00000000">
      <w:pPr>
        <w:pStyle w:val="Listenabsatz"/>
        <w:numPr>
          <w:ilvl w:val="0"/>
          <w:numId w:val="3"/>
        </w:numPr>
        <w:spacing w:after="40"/>
        <w:rPr>
          <w:lang w:val="en-US"/>
        </w:rPr>
      </w:pPr>
      <w:r w:rsidRPr="00D25A14">
        <w:rPr>
          <w:lang w:val="en-US"/>
        </w:rPr>
        <w:t>Is it submitted by midnight before the class day I selected?</w:t>
      </w:r>
    </w:p>
    <w:sectPr w:rsidR="001C6749" w:rsidRPr="00D25A14">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138B8"/>
    <w:multiLevelType w:val="hybridMultilevel"/>
    <w:tmpl w:val="397CD7C6"/>
    <w:lvl w:ilvl="0" w:tplc="439C3B62">
      <w:start w:val="1"/>
      <w:numFmt w:val="bullet"/>
      <w:lvlText w:val="•"/>
      <w:lvlJc w:val="left"/>
      <w:pPr>
        <w:ind w:left="720" w:hanging="360"/>
      </w:pPr>
    </w:lvl>
    <w:lvl w:ilvl="1" w:tplc="82C08598">
      <w:numFmt w:val="decimal"/>
      <w:lvlText w:val=""/>
      <w:lvlJc w:val="left"/>
    </w:lvl>
    <w:lvl w:ilvl="2" w:tplc="957AEE46">
      <w:numFmt w:val="decimal"/>
      <w:lvlText w:val=""/>
      <w:lvlJc w:val="left"/>
    </w:lvl>
    <w:lvl w:ilvl="3" w:tplc="90FED4DE">
      <w:numFmt w:val="decimal"/>
      <w:lvlText w:val=""/>
      <w:lvlJc w:val="left"/>
    </w:lvl>
    <w:lvl w:ilvl="4" w:tplc="F006B22A">
      <w:numFmt w:val="decimal"/>
      <w:lvlText w:val=""/>
      <w:lvlJc w:val="left"/>
    </w:lvl>
    <w:lvl w:ilvl="5" w:tplc="8A78A1D6">
      <w:numFmt w:val="decimal"/>
      <w:lvlText w:val=""/>
      <w:lvlJc w:val="left"/>
    </w:lvl>
    <w:lvl w:ilvl="6" w:tplc="2B7ECBDA">
      <w:numFmt w:val="decimal"/>
      <w:lvlText w:val=""/>
      <w:lvlJc w:val="left"/>
    </w:lvl>
    <w:lvl w:ilvl="7" w:tplc="298064C0">
      <w:numFmt w:val="decimal"/>
      <w:lvlText w:val=""/>
      <w:lvlJc w:val="left"/>
    </w:lvl>
    <w:lvl w:ilvl="8" w:tplc="B54A7740">
      <w:numFmt w:val="decimal"/>
      <w:lvlText w:val=""/>
      <w:lvlJc w:val="left"/>
    </w:lvl>
  </w:abstractNum>
  <w:abstractNum w:abstractNumId="1" w15:restartNumberingAfterBreak="0">
    <w:nsid w:val="1A7A74D4"/>
    <w:multiLevelType w:val="hybridMultilevel"/>
    <w:tmpl w:val="5F6A01F4"/>
    <w:lvl w:ilvl="0" w:tplc="5C9ADFDC">
      <w:start w:val="1"/>
      <w:numFmt w:val="decimal"/>
      <w:lvlText w:val="%1."/>
      <w:lvlJc w:val="left"/>
      <w:pPr>
        <w:ind w:left="720" w:hanging="360"/>
      </w:pPr>
    </w:lvl>
    <w:lvl w:ilvl="1" w:tplc="912A9EFA">
      <w:numFmt w:val="decimal"/>
      <w:lvlText w:val=""/>
      <w:lvlJc w:val="left"/>
    </w:lvl>
    <w:lvl w:ilvl="2" w:tplc="7FC2A0AA">
      <w:numFmt w:val="decimal"/>
      <w:lvlText w:val=""/>
      <w:lvlJc w:val="left"/>
    </w:lvl>
    <w:lvl w:ilvl="3" w:tplc="18F6E4CC">
      <w:numFmt w:val="decimal"/>
      <w:lvlText w:val=""/>
      <w:lvlJc w:val="left"/>
    </w:lvl>
    <w:lvl w:ilvl="4" w:tplc="EB3618CC">
      <w:numFmt w:val="decimal"/>
      <w:lvlText w:val=""/>
      <w:lvlJc w:val="left"/>
    </w:lvl>
    <w:lvl w:ilvl="5" w:tplc="BCF69EEE">
      <w:numFmt w:val="decimal"/>
      <w:lvlText w:val=""/>
      <w:lvlJc w:val="left"/>
    </w:lvl>
    <w:lvl w:ilvl="6" w:tplc="ADCAAD24">
      <w:numFmt w:val="decimal"/>
      <w:lvlText w:val=""/>
      <w:lvlJc w:val="left"/>
    </w:lvl>
    <w:lvl w:ilvl="7" w:tplc="D750CDBA">
      <w:numFmt w:val="decimal"/>
      <w:lvlText w:val=""/>
      <w:lvlJc w:val="left"/>
    </w:lvl>
    <w:lvl w:ilvl="8" w:tplc="088C3B1E">
      <w:numFmt w:val="decimal"/>
      <w:lvlText w:val=""/>
      <w:lvlJc w:val="left"/>
    </w:lvl>
  </w:abstractNum>
  <w:abstractNum w:abstractNumId="2" w15:restartNumberingAfterBreak="0">
    <w:nsid w:val="74EB1F4B"/>
    <w:multiLevelType w:val="hybridMultilevel"/>
    <w:tmpl w:val="85860EBE"/>
    <w:lvl w:ilvl="0" w:tplc="EF02CAC8">
      <w:start w:val="1"/>
      <w:numFmt w:val="bullet"/>
      <w:lvlText w:val="●"/>
      <w:lvlJc w:val="left"/>
      <w:pPr>
        <w:ind w:left="720" w:hanging="360"/>
      </w:pPr>
    </w:lvl>
    <w:lvl w:ilvl="1" w:tplc="D76859E4">
      <w:start w:val="1"/>
      <w:numFmt w:val="bullet"/>
      <w:lvlText w:val="○"/>
      <w:lvlJc w:val="left"/>
      <w:pPr>
        <w:ind w:left="1440" w:hanging="360"/>
      </w:pPr>
    </w:lvl>
    <w:lvl w:ilvl="2" w:tplc="1D7EF004">
      <w:start w:val="1"/>
      <w:numFmt w:val="bullet"/>
      <w:lvlText w:val="■"/>
      <w:lvlJc w:val="left"/>
      <w:pPr>
        <w:ind w:left="2160" w:hanging="360"/>
      </w:pPr>
    </w:lvl>
    <w:lvl w:ilvl="3" w:tplc="4F3AEF8C">
      <w:start w:val="1"/>
      <w:numFmt w:val="bullet"/>
      <w:lvlText w:val="●"/>
      <w:lvlJc w:val="left"/>
      <w:pPr>
        <w:ind w:left="2880" w:hanging="360"/>
      </w:pPr>
    </w:lvl>
    <w:lvl w:ilvl="4" w:tplc="899E02FA">
      <w:start w:val="1"/>
      <w:numFmt w:val="bullet"/>
      <w:lvlText w:val="○"/>
      <w:lvlJc w:val="left"/>
      <w:pPr>
        <w:ind w:left="3600" w:hanging="360"/>
      </w:pPr>
    </w:lvl>
    <w:lvl w:ilvl="5" w:tplc="707CACB2">
      <w:start w:val="1"/>
      <w:numFmt w:val="bullet"/>
      <w:lvlText w:val="■"/>
      <w:lvlJc w:val="left"/>
      <w:pPr>
        <w:ind w:left="4320" w:hanging="360"/>
      </w:pPr>
    </w:lvl>
    <w:lvl w:ilvl="6" w:tplc="D2360E80">
      <w:start w:val="1"/>
      <w:numFmt w:val="bullet"/>
      <w:lvlText w:val="●"/>
      <w:lvlJc w:val="left"/>
      <w:pPr>
        <w:ind w:left="5040" w:hanging="360"/>
      </w:pPr>
    </w:lvl>
    <w:lvl w:ilvl="7" w:tplc="86B8D1A6">
      <w:start w:val="1"/>
      <w:numFmt w:val="bullet"/>
      <w:lvlText w:val="●"/>
      <w:lvlJc w:val="left"/>
      <w:pPr>
        <w:ind w:left="5760" w:hanging="360"/>
      </w:pPr>
    </w:lvl>
    <w:lvl w:ilvl="8" w:tplc="7A9888EE">
      <w:start w:val="1"/>
      <w:numFmt w:val="bullet"/>
      <w:lvlText w:val="●"/>
      <w:lvlJc w:val="left"/>
      <w:pPr>
        <w:ind w:left="6480" w:hanging="360"/>
      </w:pPr>
    </w:lvl>
  </w:abstractNum>
  <w:num w:numId="1" w16cid:durableId="1785153056">
    <w:abstractNumId w:val="2"/>
    <w:lvlOverride w:ilvl="0">
      <w:startOverride w:val="1"/>
    </w:lvlOverride>
  </w:num>
  <w:num w:numId="2" w16cid:durableId="1435785960">
    <w:abstractNumId w:val="1"/>
    <w:lvlOverride w:ilvl="0">
      <w:startOverride w:val="1"/>
    </w:lvlOverride>
  </w:num>
  <w:num w:numId="3" w16cid:durableId="6084399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749"/>
    <w:rsid w:val="000B3D06"/>
    <w:rsid w:val="001C6749"/>
    <w:rsid w:val="002D3830"/>
    <w:rsid w:val="00C4033A"/>
    <w:rsid w:val="00D25A14"/>
    <w:rsid w:val="00DD6395"/>
    <w:rsid w:val="00FB1B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0B08"/>
  <w15:docId w15:val="{D4795322-B147-42BF-8331-32C426D8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1203</Words>
  <Characters>7585</Characters>
  <Application>Microsoft Office Word</Application>
  <DocSecurity>0</DocSecurity>
  <Lines>63</Lines>
  <Paragraphs>17</Paragraphs>
  <ScaleCrop>false</ScaleCrop>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Joachim Wintzer</cp:lastModifiedBy>
  <cp:revision>4</cp:revision>
  <dcterms:created xsi:type="dcterms:W3CDTF">2026-09-09T18:21:00Z</dcterms:created>
  <dcterms:modified xsi:type="dcterms:W3CDTF">2026-09-13T16:37:00Z</dcterms:modified>
</cp:coreProperties>
</file>