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59AB3" w14:textId="77777777" w:rsidR="00092442" w:rsidRDefault="00724D11" w:rsidP="00724D11">
      <w:r w:rsidRPr="00724D11">
        <w:rPr>
          <w:b/>
          <w:noProof/>
          <w:highlight w:val="green"/>
        </w:rPr>
        <w:drawing>
          <wp:anchor distT="0" distB="0" distL="114300" distR="114300" simplePos="0" relativeHeight="251665408" behindDoc="0" locked="0" layoutInCell="1" allowOverlap="1" wp14:anchorId="0C7A49E9" wp14:editId="325A2276">
            <wp:simplePos x="0" y="0"/>
            <wp:positionH relativeFrom="column">
              <wp:posOffset>2794188</wp:posOffset>
            </wp:positionH>
            <wp:positionV relativeFrom="paragraph">
              <wp:posOffset>244</wp:posOffset>
            </wp:positionV>
            <wp:extent cx="3083350" cy="1551298"/>
            <wp:effectExtent l="0" t="0" r="3175" b="0"/>
            <wp:wrapSquare wrapText="bothSides"/>
            <wp:docPr id="2" name="Picture 5" descr="Screen Shot 2018-03-13 at 1.31.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8-03-13 at 1.31.33 AM.png"/>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rot="10800000">
                      <a:off x="0" y="0"/>
                      <a:ext cx="3083350" cy="1551298"/>
                    </a:xfrm>
                    <a:prstGeom prst="rect">
                      <a:avLst/>
                    </a:prstGeom>
                  </pic:spPr>
                </pic:pic>
              </a:graphicData>
            </a:graphic>
            <wp14:sizeRelH relativeFrom="margin">
              <wp14:pctWidth>0</wp14:pctWidth>
            </wp14:sizeRelH>
            <wp14:sizeRelV relativeFrom="margin">
              <wp14:pctHeight>0</wp14:pctHeight>
            </wp14:sizeRelV>
          </wp:anchor>
        </w:drawing>
      </w:r>
      <w:r w:rsidRPr="00634C49">
        <w:rPr>
          <w:b/>
          <w:highlight w:val="green"/>
        </w:rPr>
        <w:t xml:space="preserve"> </w:t>
      </w:r>
      <w:r w:rsidRPr="00141831">
        <w:rPr>
          <w:b/>
          <w:highlight w:val="green"/>
        </w:rPr>
        <w:t>•</w:t>
      </w:r>
      <w:r w:rsidR="00274F60">
        <w:rPr>
          <w:b/>
          <w:highlight w:val="green"/>
        </w:rPr>
        <w:t xml:space="preserve"> s</w:t>
      </w:r>
      <w:r w:rsidR="00E146E5">
        <w:rPr>
          <w:b/>
          <w:highlight w:val="green"/>
        </w:rPr>
        <w:t>w4</w:t>
      </w:r>
      <w:r w:rsidRPr="00141831">
        <w:rPr>
          <w:b/>
          <w:highlight w:val="green"/>
        </w:rPr>
        <w:t>.</w:t>
      </w:r>
      <w:r w:rsidRPr="00640866">
        <w:rPr>
          <w:b/>
        </w:rPr>
        <w:t xml:space="preserve"> </w:t>
      </w:r>
      <w:r>
        <w:rPr>
          <w:b/>
        </w:rPr>
        <w:t xml:space="preserve">2112 </w:t>
      </w:r>
      <w:proofErr w:type="spellStart"/>
      <w:r>
        <w:rPr>
          <w:b/>
        </w:rPr>
        <w:t>Naudain</w:t>
      </w:r>
      <w:proofErr w:type="spellEnd"/>
      <w:r>
        <w:rPr>
          <w:b/>
        </w:rPr>
        <w:t xml:space="preserve"> Street</w:t>
      </w:r>
    </w:p>
    <w:p w14:paraId="4C2FBF5E" w14:textId="720394F7" w:rsidR="00724D11" w:rsidRPr="00880338" w:rsidRDefault="00092442" w:rsidP="00724D11">
      <w:r>
        <w:t xml:space="preserve">[South of </w:t>
      </w:r>
      <w:r w:rsidR="00880338" w:rsidRPr="00880338">
        <w:t xml:space="preserve">Lombard </w:t>
      </w:r>
      <w:r>
        <w:t>Street]</w:t>
      </w:r>
    </w:p>
    <w:p w14:paraId="5ECD5CF4" w14:textId="073324CB" w:rsidR="00724D11" w:rsidRDefault="00F36A2D" w:rsidP="00724D11">
      <w:r>
        <w:t>Insured in 1849</w:t>
      </w:r>
      <w:r w:rsidR="008627E4">
        <w:t>.</w:t>
      </w:r>
    </w:p>
    <w:p w14:paraId="0773D463" w14:textId="2344B9C6" w:rsidR="00724D11" w:rsidRDefault="00880338" w:rsidP="00724D11">
      <w:r w:rsidRPr="00724D11">
        <w:rPr>
          <w:b/>
          <w:noProof/>
          <w:highlight w:val="green"/>
        </w:rPr>
        <mc:AlternateContent>
          <mc:Choice Requires="wps">
            <w:drawing>
              <wp:anchor distT="0" distB="0" distL="114300" distR="114300" simplePos="0" relativeHeight="251666432" behindDoc="0" locked="0" layoutInCell="1" allowOverlap="1" wp14:anchorId="16FF5658" wp14:editId="25C74375">
                <wp:simplePos x="0" y="0"/>
                <wp:positionH relativeFrom="column">
                  <wp:posOffset>4948555</wp:posOffset>
                </wp:positionH>
                <wp:positionV relativeFrom="paragraph">
                  <wp:posOffset>233140</wp:posOffset>
                </wp:positionV>
                <wp:extent cx="478155" cy="461645"/>
                <wp:effectExtent l="0" t="0" r="0" b="0"/>
                <wp:wrapNone/>
                <wp:docPr id="9" name="TextBox 8"/>
                <wp:cNvGraphicFramePr/>
                <a:graphic xmlns:a="http://schemas.openxmlformats.org/drawingml/2006/main">
                  <a:graphicData uri="http://schemas.microsoft.com/office/word/2010/wordprocessingShape">
                    <wps:wsp>
                      <wps:cNvSpPr txBox="1"/>
                      <wps:spPr>
                        <a:xfrm>
                          <a:off x="0" y="0"/>
                          <a:ext cx="478155" cy="461645"/>
                        </a:xfrm>
                        <a:prstGeom prst="rect">
                          <a:avLst/>
                        </a:prstGeom>
                        <a:noFill/>
                      </wps:spPr>
                      <wps:txbx>
                        <w:txbxContent>
                          <w:p w14:paraId="25DFF93E" w14:textId="77777777" w:rsidR="00724D11" w:rsidRPr="00724D11" w:rsidRDefault="00724D11" w:rsidP="00724D11">
                            <w:pPr>
                              <w:pStyle w:val="NormalWeb"/>
                              <w:spacing w:before="0" w:beforeAutospacing="0" w:after="0" w:afterAutospacing="0"/>
                              <w:rPr>
                                <w:sz w:val="32"/>
                                <w:szCs w:val="32"/>
                              </w:rPr>
                            </w:pPr>
                            <w:r w:rsidRPr="00724D11">
                              <w:rPr>
                                <w:rFonts w:asciiTheme="minorHAnsi" w:hAnsi="Calibri" w:cstheme="minorBidi"/>
                                <w:bCs/>
                                <w:color w:val="0000FF"/>
                                <w:kern w:val="24"/>
                                <w:sz w:val="32"/>
                                <w:szCs w:val="32"/>
                              </w:rPr>
                              <w:t>X</w:t>
                            </w:r>
                          </w:p>
                        </w:txbxContent>
                      </wps:txbx>
                      <wps:bodyPr wrap="square" rtlCol="0">
                        <a:spAutoFit/>
                      </wps:bodyPr>
                    </wps:wsp>
                  </a:graphicData>
                </a:graphic>
              </wp:anchor>
            </w:drawing>
          </mc:Choice>
          <mc:Fallback>
            <w:pict>
              <v:shapetype w14:anchorId="16FF5658" id="_x0000_t202" coordsize="21600,21600" o:spt="202" path="m,l,21600r21600,l21600,xe">
                <v:stroke joinstyle="miter"/>
                <v:path gradientshapeok="t" o:connecttype="rect"/>
              </v:shapetype>
              <v:shape id="TextBox 8" o:spid="_x0000_s1026" type="#_x0000_t202" style="position:absolute;margin-left:389.65pt;margin-top:18.35pt;width:37.65pt;height:36.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" filled="f" stroked="f">
                <v:textbox style="mso-fit-shape-to-text:t">
                  <w:txbxContent>
                    <w:p w14:paraId="25DFF93E" w14:textId="77777777" w:rsidR="00724D11" w:rsidRPr="00724D11" w:rsidRDefault="00724D11" w:rsidP="00724D11">
                      <w:pPr>
                        <w:pStyle w:val="NormalWeb"/>
                        <w:spacing w:before="0" w:beforeAutospacing="0" w:after="0" w:afterAutospacing="0"/>
                        <w:rPr>
                          <w:sz w:val="32"/>
                          <w:szCs w:val="32"/>
                        </w:rPr>
                      </w:pPr>
                      <w:r w:rsidRPr="00724D11">
                        <w:rPr>
                          <w:rFonts w:asciiTheme="minorHAnsi" w:hAnsi="Calibri" w:cstheme="minorBidi"/>
                          <w:bCs/>
                          <w:color w:val="0000FF"/>
                          <w:kern w:val="24"/>
                          <w:sz w:val="32"/>
                          <w:szCs w:val="32"/>
                        </w:rPr>
                        <w:t>X</w:t>
                      </w:r>
                    </w:p>
                  </w:txbxContent>
                </v:textbox>
              </v:shape>
            </w:pict>
          </mc:Fallback>
        </mc:AlternateContent>
      </w:r>
      <w:r w:rsidR="00724D11">
        <w:t>1</w:t>
      </w:r>
      <w:r w:rsidR="00F36A2D">
        <w:t>6</w:t>
      </w:r>
      <w:r w:rsidR="00724D11">
        <w:t>’ f</w:t>
      </w:r>
      <w:r w:rsidR="008627E4">
        <w:t>ron</w:t>
      </w:r>
      <w:r w:rsidR="00724D11">
        <w:t xml:space="preserve">t, in </w:t>
      </w:r>
      <w:r w:rsidR="00F36A2D">
        <w:t>l</w:t>
      </w:r>
      <w:r w:rsidR="007015D6">
        <w:t>ik</w:t>
      </w:r>
      <w:r w:rsidR="00F36A2D">
        <w:t xml:space="preserve">ely </w:t>
      </w:r>
      <w:r w:rsidR="00724D11">
        <w:t xml:space="preserve">row of </w:t>
      </w:r>
      <w:r w:rsidR="00F36A2D">
        <w:t>four</w:t>
      </w:r>
      <w:r w:rsidR="00724D11">
        <w:t>, 21</w:t>
      </w:r>
      <w:r w:rsidR="00F36A2D">
        <w:t>10-16</w:t>
      </w:r>
      <w:r w:rsidR="00724D11">
        <w:t xml:space="preserve"> </w:t>
      </w:r>
      <w:proofErr w:type="spellStart"/>
      <w:r w:rsidR="00724D11">
        <w:t>Naudain</w:t>
      </w:r>
      <w:proofErr w:type="spellEnd"/>
      <w:r w:rsidR="00F36A2D">
        <w:t>.</w:t>
      </w:r>
    </w:p>
    <w:p w14:paraId="01A781FB" w14:textId="2F9FDF42" w:rsidR="00724D11" w:rsidRDefault="00724D11" w:rsidP="00724D11"/>
    <w:p w14:paraId="12322D83" w14:textId="4F51391E" w:rsidR="00724D11" w:rsidRPr="00FB367B" w:rsidRDefault="00092442" w:rsidP="00724D11">
      <w:pPr>
        <w:rPr>
          <w:b/>
        </w:rPr>
      </w:pPr>
      <w:r>
        <w:rPr>
          <w:noProof/>
        </w:rPr>
        <w:drawing>
          <wp:anchor distT="0" distB="0" distL="114300" distR="114300" simplePos="0" relativeHeight="251681792" behindDoc="0" locked="0" layoutInCell="1" allowOverlap="1" wp14:anchorId="1D12EEE5" wp14:editId="16720BA1">
            <wp:simplePos x="0" y="0"/>
            <wp:positionH relativeFrom="column">
              <wp:posOffset>3835818</wp:posOffset>
            </wp:positionH>
            <wp:positionV relativeFrom="paragraph">
              <wp:posOffset>433798</wp:posOffset>
            </wp:positionV>
            <wp:extent cx="2045970" cy="2908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4-23 at 12.41.27 PM.png"/>
                    <pic:cNvPicPr/>
                  </pic:nvPicPr>
                  <pic:blipFill>
                    <a:blip r:embed="rId5">
                      <a:extLst>
                        <a:ext uri="{28A0092B-C50C-407E-A947-70E740481C1C}">
                          <a14:useLocalDpi xmlns:a14="http://schemas.microsoft.com/office/drawing/2010/main" val="0"/>
                        </a:ext>
                      </a:extLst>
                    </a:blip>
                    <a:stretch>
                      <a:fillRect/>
                    </a:stretch>
                  </pic:blipFill>
                  <pic:spPr>
                    <a:xfrm>
                      <a:off x="0" y="0"/>
                      <a:ext cx="2045970" cy="2908300"/>
                    </a:xfrm>
                    <a:prstGeom prst="rect">
                      <a:avLst/>
                    </a:prstGeom>
                  </pic:spPr>
                </pic:pic>
              </a:graphicData>
            </a:graphic>
            <wp14:sizeRelH relativeFrom="page">
              <wp14:pctWidth>0</wp14:pctWidth>
            </wp14:sizeRelH>
            <wp14:sizeRelV relativeFrom="page">
              <wp14:pctHeight>0</wp14:pctHeight>
            </wp14:sizeRelV>
          </wp:anchor>
        </w:drawing>
      </w:r>
      <w:r w:rsidR="00724D11" w:rsidRPr="00634C49">
        <w:rPr>
          <w:noProof/>
        </w:rPr>
        <mc:AlternateContent>
          <mc:Choice Requires="wps">
            <w:drawing>
              <wp:anchor distT="0" distB="0" distL="114300" distR="114300" simplePos="0" relativeHeight="251661312" behindDoc="0" locked="0" layoutInCell="1" allowOverlap="1" wp14:anchorId="1FEBC064" wp14:editId="7A091514">
                <wp:simplePos x="0" y="0"/>
                <wp:positionH relativeFrom="column">
                  <wp:posOffset>4058285</wp:posOffset>
                </wp:positionH>
                <wp:positionV relativeFrom="paragraph">
                  <wp:posOffset>410154</wp:posOffset>
                </wp:positionV>
                <wp:extent cx="311804" cy="369332"/>
                <wp:effectExtent l="0" t="0" r="0" b="0"/>
                <wp:wrapNone/>
                <wp:docPr id="6" name="TextBox 15"/>
                <wp:cNvGraphicFramePr/>
                <a:graphic xmlns:a="http://schemas.openxmlformats.org/drawingml/2006/main">
                  <a:graphicData uri="http://schemas.microsoft.com/office/word/2010/wordprocessingShape">
                    <wps:wsp>
                      <wps:cNvSpPr txBox="1"/>
                      <wps:spPr>
                        <a:xfrm>
                          <a:off x="0" y="0"/>
                          <a:ext cx="311804" cy="369332"/>
                        </a:xfrm>
                        <a:prstGeom prst="rect">
                          <a:avLst/>
                        </a:prstGeom>
                        <a:noFill/>
                      </wps:spPr>
                      <wps:txbx>
                        <w:txbxContent>
                          <w:p w14:paraId="06722A93" w14:textId="77777777" w:rsidR="00724D11" w:rsidRPr="008D3E57" w:rsidRDefault="00724D11" w:rsidP="00724D11">
                            <w:pPr>
                              <w:pStyle w:val="NormalWeb"/>
                              <w:spacing w:before="0" w:beforeAutospacing="0" w:after="0" w:afterAutospacing="0"/>
                            </w:pPr>
                            <w:r>
                              <w:rPr>
                                <w:rFonts w:asciiTheme="minorHAnsi" w:hAnsi="Calibri" w:cstheme="minorBidi"/>
                                <w:bCs/>
                                <w:color w:val="0000FF"/>
                                <w:kern w:val="24"/>
                              </w:rPr>
                              <w:t>x</w:t>
                            </w:r>
                          </w:p>
                        </w:txbxContent>
                      </wps:txbx>
                      <wps:bodyPr wrap="none" rtlCol="0">
                        <a:spAutoFit/>
                      </wps:bodyPr>
                    </wps:wsp>
                  </a:graphicData>
                </a:graphic>
              </wp:anchor>
            </w:drawing>
          </mc:Choice>
          <mc:Fallback>
            <w:pict>
              <v:shapetype w14:anchorId="1FEBC064" id="_x0000_t202" coordsize="21600,21600" o:spt="202" path="m,l,21600r21600,l21600,xe">
                <v:stroke joinstyle="miter"/>
                <v:path gradientshapeok="t" o:connecttype="rect"/>
              </v:shapetype>
              <v:shape id="TextBox 15" o:spid="_x0000_s1027" type="#_x0000_t202" style="position:absolute;margin-left:319.55pt;margin-top:32.3pt;width:24.55pt;height:29.1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" filled="f" stroked="f">
                <v:textbox style="mso-fit-shape-to-text:t">
                  <w:txbxContent>
                    <w:p w14:paraId="06722A93" w14:textId="77777777" w:rsidR="00724D11" w:rsidRPr="008D3E57" w:rsidRDefault="00724D11" w:rsidP="00724D11">
                      <w:pPr>
                        <w:pStyle w:val="NormalWeb"/>
                        <w:spacing w:before="0" w:beforeAutospacing="0" w:after="0" w:afterAutospacing="0"/>
                      </w:pPr>
                      <w:r>
                        <w:rPr>
                          <w:rFonts w:asciiTheme="minorHAnsi" w:hAnsi="Calibri" w:cstheme="minorBidi"/>
                          <w:bCs/>
                          <w:color w:val="0000FF"/>
                          <w:kern w:val="24"/>
                        </w:rPr>
                        <w:t>x</w:t>
                      </w:r>
                    </w:p>
                  </w:txbxContent>
                </v:textbox>
              </v:shape>
            </w:pict>
          </mc:Fallback>
        </mc:AlternateContent>
      </w:r>
      <w:r w:rsidR="00724D11">
        <w:rPr>
          <w:b/>
        </w:rPr>
        <w:t xml:space="preserve">One-cell plans </w:t>
      </w:r>
      <w:r w:rsidR="00DE626A">
        <w:rPr>
          <w:b/>
        </w:rPr>
        <w:t>. . .</w:t>
      </w:r>
      <w:r w:rsidR="00724D11" w:rsidRPr="00FB367B">
        <w:rPr>
          <w:b/>
        </w:rPr>
        <w:t xml:space="preserve"> </w:t>
      </w:r>
      <w:r w:rsidR="00F36A2D">
        <w:rPr>
          <w:b/>
        </w:rPr>
        <w:t>small, inner block streets</w:t>
      </w:r>
      <w:r w:rsidR="008627E4">
        <w:rPr>
          <w:b/>
        </w:rPr>
        <w:t xml:space="preserve"> . . . </w:t>
      </w:r>
      <w:r w:rsidR="00F36A2D">
        <w:rPr>
          <w:b/>
        </w:rPr>
        <w:t xml:space="preserve"> </w:t>
      </w:r>
      <w:r w:rsidR="008627E4">
        <w:rPr>
          <w:b/>
        </w:rPr>
        <w:t xml:space="preserve">development and </w:t>
      </w:r>
      <w:r w:rsidR="00F36A2D">
        <w:rPr>
          <w:b/>
        </w:rPr>
        <w:t xml:space="preserve">ownership . . .  </w:t>
      </w:r>
      <w:r w:rsidR="008627E4">
        <w:rPr>
          <w:b/>
        </w:rPr>
        <w:t xml:space="preserve">resident </w:t>
      </w:r>
      <w:r w:rsidR="00F36A2D">
        <w:rPr>
          <w:b/>
        </w:rPr>
        <w:t xml:space="preserve">demographics </w:t>
      </w:r>
      <w:r w:rsidR="00724D11">
        <w:rPr>
          <w:b/>
        </w:rPr>
        <w:t>. . .</w:t>
      </w:r>
      <w:r w:rsidR="008627E4">
        <w:rPr>
          <w:b/>
        </w:rPr>
        <w:t xml:space="preserve"> Dubois</w:t>
      </w:r>
      <w:r w:rsidR="00DE626A">
        <w:rPr>
          <w:b/>
        </w:rPr>
        <w:t>’</w:t>
      </w:r>
      <w:r w:rsidR="008627E4">
        <w:rPr>
          <w:b/>
        </w:rPr>
        <w:t xml:space="preserve"> 7</w:t>
      </w:r>
      <w:r w:rsidR="008627E4" w:rsidRPr="008627E4">
        <w:rPr>
          <w:b/>
          <w:vertAlign w:val="superscript"/>
        </w:rPr>
        <w:t>th</w:t>
      </w:r>
      <w:r w:rsidR="008627E4">
        <w:rPr>
          <w:b/>
        </w:rPr>
        <w:t xml:space="preserve"> ward.</w:t>
      </w:r>
    </w:p>
    <w:p w14:paraId="2A08BE54" w14:textId="08663912" w:rsidR="00724D11" w:rsidRDefault="00724D11" w:rsidP="00724D11">
      <w:r w:rsidRPr="00634C49">
        <w:rPr>
          <w:noProof/>
        </w:rPr>
        <w:t xml:space="preserve"> </w:t>
      </w:r>
    </w:p>
    <w:p w14:paraId="1B30C457" w14:textId="59A4B3D7" w:rsidR="00086E90" w:rsidRPr="00C03AAA" w:rsidRDefault="00086E90" w:rsidP="00274F60">
      <w:pPr>
        <w:rPr>
          <w:sz w:val="20"/>
          <w:szCs w:val="20"/>
          <w:highlight w:val="yellow"/>
        </w:rPr>
      </w:pPr>
      <w:r w:rsidRPr="00C03AAA">
        <w:rPr>
          <w:sz w:val="20"/>
          <w:szCs w:val="20"/>
          <w:highlight w:val="yellow"/>
        </w:rPr>
        <w:t>•</w:t>
      </w:r>
      <w:r w:rsidR="00E146E5" w:rsidRPr="00C03AAA">
        <w:rPr>
          <w:sz w:val="20"/>
          <w:szCs w:val="20"/>
          <w:highlight w:val="yellow"/>
        </w:rPr>
        <w:t xml:space="preserve"> sw4a. </w:t>
      </w:r>
      <w:r w:rsidR="00C03AAA" w:rsidRPr="00C03AAA">
        <w:rPr>
          <w:sz w:val="20"/>
          <w:szCs w:val="20"/>
          <w:highlight w:val="yellow"/>
        </w:rPr>
        <w:t>Bromley atlas (1885): pl. Q (PGHN), with south at top.</w:t>
      </w:r>
    </w:p>
    <w:p w14:paraId="7A685170" w14:textId="611F2FD1" w:rsidR="00D14B8B" w:rsidRPr="00C03AAA" w:rsidRDefault="00D14B8B" w:rsidP="00274F60">
      <w:pPr>
        <w:rPr>
          <w:sz w:val="20"/>
          <w:szCs w:val="20"/>
          <w:highlight w:val="yellow"/>
        </w:rPr>
      </w:pPr>
      <w:r w:rsidRPr="00C03AAA">
        <w:rPr>
          <w:sz w:val="20"/>
          <w:szCs w:val="20"/>
          <w:highlight w:val="yellow"/>
        </w:rPr>
        <w:t xml:space="preserve">• </w:t>
      </w:r>
      <w:r w:rsidR="00E146E5" w:rsidRPr="00C03AAA">
        <w:rPr>
          <w:sz w:val="20"/>
          <w:szCs w:val="20"/>
          <w:highlight w:val="yellow"/>
        </w:rPr>
        <w:t xml:space="preserve">sw4b. </w:t>
      </w:r>
      <w:r w:rsidR="00C03AAA" w:rsidRPr="00C03AAA">
        <w:rPr>
          <w:sz w:val="20"/>
          <w:szCs w:val="20"/>
          <w:highlight w:val="yellow"/>
        </w:rPr>
        <w:t>Photo 2019, J. Cohen.</w:t>
      </w:r>
    </w:p>
    <w:p w14:paraId="3DE68C09" w14:textId="3B4F8346" w:rsidR="00086E90" w:rsidRDefault="00086E90"/>
    <w:p w14:paraId="3B858B26" w14:textId="704F4CC8" w:rsidR="002D25E2" w:rsidRDefault="00086E90" w:rsidP="00D14B8B">
      <w:pPr>
        <w:ind w:firstLine="720"/>
      </w:pPr>
      <w:r>
        <w:t>Single-cell plan houses rarely survive as such in the city.  Most seem to date before the dramatic mid-19</w:t>
      </w:r>
      <w:r w:rsidRPr="00086E90">
        <w:rPr>
          <w:vertAlign w:val="superscript"/>
        </w:rPr>
        <w:t>th</w:t>
      </w:r>
      <w:r>
        <w:t xml:space="preserve"> century expansion of the city to the north and south facilitated by the horse-drawn streetcar networks, </w:t>
      </w:r>
      <w:r w:rsidR="00D14B8B">
        <w:t>where cheaper land allowed larger houses for working-class families.  The older two- and three-story (“trinities”) one-cell houses were mostly located near downtown in the earlier walking-radius city, meaning mainly</w:t>
      </w:r>
      <w:r w:rsidR="0047791D">
        <w:t xml:space="preserve"> in </w:t>
      </w:r>
      <w:r w:rsidR="00D14B8B">
        <w:t xml:space="preserve">dense districts later almost completely claimed by new residential and commercial building at a larger scale.  </w:t>
      </w:r>
    </w:p>
    <w:p w14:paraId="15F3D19A" w14:textId="5F273922" w:rsidR="00941156" w:rsidRDefault="00941156"/>
    <w:p w14:paraId="77958B8A" w14:textId="4F042976" w:rsidR="00941156" w:rsidRDefault="00941156" w:rsidP="00D14B8B">
      <w:pPr>
        <w:ind w:firstLine="720"/>
      </w:pPr>
      <w:r>
        <w:t xml:space="preserve">Where </w:t>
      </w:r>
      <w:r w:rsidR="00D14B8B">
        <w:t>such houses</w:t>
      </w:r>
      <w:r>
        <w:t xml:space="preserve"> do survive, though, typically on narrow</w:t>
      </w:r>
      <w:r w:rsidR="00D14B8B">
        <w:t>,</w:t>
      </w:r>
      <w:r>
        <w:t xml:space="preserve"> mid-block streets or courts, their </w:t>
      </w:r>
      <w:r w:rsidR="00D14B8B">
        <w:t xml:space="preserve">pedestrian </w:t>
      </w:r>
      <w:r>
        <w:t xml:space="preserve">proximity to downtown has </w:t>
      </w:r>
      <w:r w:rsidR="00D14B8B">
        <w:t xml:space="preserve">continued to </w:t>
      </w:r>
      <w:r>
        <w:t>ma</w:t>
      </w:r>
      <w:r w:rsidR="00D14B8B">
        <w:t>k</w:t>
      </w:r>
      <w:r>
        <w:t xml:space="preserve">e them desirable for small households and </w:t>
      </w:r>
      <w:r w:rsidR="00D14B8B">
        <w:t xml:space="preserve">for seekers of a downtown </w:t>
      </w:r>
      <w:r w:rsidR="00D14B8B" w:rsidRPr="004E6DA4">
        <w:rPr>
          <w:i/>
        </w:rPr>
        <w:t>pied-a-terre</w:t>
      </w:r>
      <w:r w:rsidR="004E6DA4">
        <w:t xml:space="preserve"> -- perhaps a few toes short of a full </w:t>
      </w:r>
      <w:r w:rsidR="004E6DA4" w:rsidRPr="004E6DA4">
        <w:rPr>
          <w:i/>
        </w:rPr>
        <w:t>pied</w:t>
      </w:r>
      <w:r w:rsidR="004E6DA4">
        <w:t xml:space="preserve">.  </w:t>
      </w:r>
      <w:r w:rsidR="00DE626A">
        <w:t>Adapting these</w:t>
      </w:r>
      <w:r w:rsidR="004E6DA4">
        <w:t xml:space="preserve"> for modern living</w:t>
      </w:r>
      <w:r>
        <w:t xml:space="preserve"> has often meant </w:t>
      </w:r>
      <w:r w:rsidR="004E6DA4">
        <w:t>a half or full additional room</w:t>
      </w:r>
      <w:r>
        <w:t xml:space="preserve"> expan</w:t>
      </w:r>
      <w:r w:rsidR="004E6DA4">
        <w:t>sion</w:t>
      </w:r>
      <w:r>
        <w:t xml:space="preserve"> to the rear, and their characteristic single</w:t>
      </w:r>
      <w:r w:rsidR="004E6DA4">
        <w:t>-</w:t>
      </w:r>
      <w:r>
        <w:t xml:space="preserve">pitched roofs </w:t>
      </w:r>
      <w:r w:rsidR="004E6DA4">
        <w:t>often</w:t>
      </w:r>
      <w:r>
        <w:t xml:space="preserve"> met </w:t>
      </w:r>
      <w:r w:rsidR="004E6DA4">
        <w:t>a lower one</w:t>
      </w:r>
      <w:r>
        <w:t xml:space="preserve">, creating a distinctive </w:t>
      </w:r>
      <w:r w:rsidR="004E6DA4">
        <w:t xml:space="preserve">asymmetric </w:t>
      </w:r>
      <w:r>
        <w:t>profile.</w:t>
      </w:r>
    </w:p>
    <w:p w14:paraId="3BFFD369" w14:textId="497B56B6" w:rsidR="00941156" w:rsidRDefault="00941156"/>
    <w:p w14:paraId="1BD1D026" w14:textId="2184CD43" w:rsidR="00941156" w:rsidRDefault="00651C32" w:rsidP="004E6DA4">
      <w:pPr>
        <w:ind w:firstLine="720"/>
      </w:pPr>
      <w:r>
        <w:t xml:space="preserve">As mentioned with reference to </w:t>
      </w:r>
      <w:r w:rsidR="008B6DD6">
        <w:t xml:space="preserve">the </w:t>
      </w:r>
      <w:r>
        <w:t xml:space="preserve">Fawn Street </w:t>
      </w:r>
      <w:r w:rsidR="008B6DD6">
        <w:t xml:space="preserve">house </w:t>
      </w:r>
      <w:r>
        <w:t>near 1</w:t>
      </w:r>
      <w:r w:rsidR="004E6DA4">
        <w:t>2</w:t>
      </w:r>
      <w:r>
        <w:t>th Street [</w:t>
      </w:r>
      <w:proofErr w:type="spellStart"/>
      <w:r w:rsidRPr="00651C32">
        <w:rPr>
          <w:highlight w:val="green"/>
        </w:rPr>
        <w:t>xref</w:t>
      </w:r>
      <w:proofErr w:type="spellEnd"/>
      <w:r w:rsidRPr="00651C32">
        <w:rPr>
          <w:highlight w:val="green"/>
        </w:rPr>
        <w:t>]</w:t>
      </w:r>
      <w:r>
        <w:t>, the</w:t>
      </w:r>
      <w:r w:rsidR="008B6DD6">
        <w:t>se small houses</w:t>
      </w:r>
      <w:r>
        <w:t xml:space="preserve"> </w:t>
      </w:r>
      <w:r w:rsidR="00DE626A">
        <w:t>were not often</w:t>
      </w:r>
      <w:r>
        <w:t xml:space="preserve"> </w:t>
      </w:r>
      <w:r w:rsidR="004E6DA4">
        <w:t xml:space="preserve">built singly.  </w:t>
      </w:r>
      <w:r w:rsidR="00DE626A">
        <w:t>I</w:t>
      </w:r>
      <w:r>
        <w:t xml:space="preserve">n this case </w:t>
      </w:r>
      <w:r w:rsidR="004E6DA4">
        <w:t xml:space="preserve">on </w:t>
      </w:r>
      <w:proofErr w:type="spellStart"/>
      <w:r w:rsidR="004E6DA4">
        <w:t>Naudain</w:t>
      </w:r>
      <w:proofErr w:type="spellEnd"/>
      <w:r w:rsidR="004E6DA4">
        <w:t xml:space="preserve"> several were </w:t>
      </w:r>
      <w:r>
        <w:t>join</w:t>
      </w:r>
      <w:r w:rsidR="00F36A2D">
        <w:t>e</w:t>
      </w:r>
      <w:r>
        <w:t>d b</w:t>
      </w:r>
      <w:r w:rsidR="00F36A2D">
        <w:t>r</w:t>
      </w:r>
      <w:r>
        <w:t>eadthwise as part of a develop</w:t>
      </w:r>
      <w:r w:rsidR="00F36A2D">
        <w:t>men</w:t>
      </w:r>
      <w:r>
        <w:t>t of small h</w:t>
      </w:r>
      <w:r w:rsidR="00F36A2D">
        <w:t>o</w:t>
      </w:r>
      <w:r>
        <w:t>uses rather than in depth</w:t>
      </w:r>
      <w:r w:rsidR="004E6DA4">
        <w:t xml:space="preserve"> behind a larger house</w:t>
      </w:r>
      <w:r w:rsidR="008B6DD6">
        <w:t>.  In the early and mid-19</w:t>
      </w:r>
      <w:r w:rsidR="008B6DD6" w:rsidRPr="008B6DD6">
        <w:rPr>
          <w:vertAlign w:val="superscript"/>
        </w:rPr>
        <w:t>th</w:t>
      </w:r>
      <w:r w:rsidR="008B6DD6">
        <w:t xml:space="preserve"> century, t</w:t>
      </w:r>
      <w:r w:rsidR="004E6DA4">
        <w:t xml:space="preserve">his </w:t>
      </w:r>
      <w:r w:rsidR="008B6DD6">
        <w:t xml:space="preserve">type of development </w:t>
      </w:r>
      <w:r w:rsidR="004E6DA4">
        <w:t xml:space="preserve">was </w:t>
      </w:r>
      <w:r w:rsidR="008B6DD6">
        <w:t xml:space="preserve">most </w:t>
      </w:r>
      <w:r w:rsidR="004E6DA4">
        <w:t>often an</w:t>
      </w:r>
      <w:r w:rsidR="00D73C4A">
        <w:t xml:space="preserve"> investment in building for rental, finding ready tenants among populations </w:t>
      </w:r>
      <w:r w:rsidR="008B6DD6">
        <w:t>who often lacked</w:t>
      </w:r>
      <w:r w:rsidR="00D73C4A">
        <w:t xml:space="preserve"> the </w:t>
      </w:r>
      <w:r w:rsidR="008B6DD6">
        <w:t xml:space="preserve">accumulated </w:t>
      </w:r>
      <w:r w:rsidR="00D73C4A">
        <w:t xml:space="preserve">capital to own.  </w:t>
      </w:r>
    </w:p>
    <w:p w14:paraId="26C23112" w14:textId="02E142AE" w:rsidR="00651C32" w:rsidRDefault="00651C32"/>
    <w:p w14:paraId="48883400" w14:textId="23683299" w:rsidR="00BB0EEE" w:rsidRDefault="008B6DD6" w:rsidP="008B6DD6">
      <w:pPr>
        <w:ind w:firstLine="720"/>
      </w:pPr>
      <w:r>
        <w:t>At 2</w:t>
      </w:r>
      <w:r w:rsidR="00DE626A">
        <w:t>1</w:t>
      </w:r>
      <w:r>
        <w:t xml:space="preserve">10-12 </w:t>
      </w:r>
      <w:proofErr w:type="spellStart"/>
      <w:r>
        <w:t>Naudain</w:t>
      </w:r>
      <w:proofErr w:type="spellEnd"/>
      <w:r>
        <w:t>,</w:t>
      </w:r>
      <w:r w:rsidR="00651C32">
        <w:t xml:space="preserve"> two adjoining houses were insured at once in July 1849 by Edward O’Hara, and described as “Two, three story brick dwelling houses, situate on the South side of Williams Street between Schu</w:t>
      </w:r>
      <w:r w:rsidR="00F36A2D">
        <w:t>yl</w:t>
      </w:r>
      <w:r w:rsidR="00651C32">
        <w:t xml:space="preserve">kill Second and Front Streets, </w:t>
      </w:r>
      <w:r w:rsidR="00F36A2D">
        <w:t xml:space="preserve">beginning 102 ft. west of Schuylkill Second Street.  </w:t>
      </w:r>
      <w:r w:rsidR="007015D6">
        <w:t xml:space="preserve">The deed registry </w:t>
      </w:r>
      <w:r>
        <w:t xml:space="preserve">sheet </w:t>
      </w:r>
      <w:r w:rsidR="007015D6">
        <w:t xml:space="preserve">for block 4-S-16 records O’Hara’s acquisition of the two properties in November 1848 from Robert D. Dunning, who also had owned and sold 2104 and </w:t>
      </w:r>
      <w:r w:rsidR="007015D6">
        <w:lastRenderedPageBreak/>
        <w:t xml:space="preserve">2106 </w:t>
      </w:r>
      <w:proofErr w:type="spellStart"/>
      <w:r w:rsidR="007015D6">
        <w:t>Naudain</w:t>
      </w:r>
      <w:proofErr w:type="spellEnd"/>
      <w:r w:rsidR="00BB0EEE">
        <w:t xml:space="preserve"> around that time</w:t>
      </w:r>
      <w:r w:rsidR="007015D6">
        <w:t xml:space="preserve">, as well as four other </w:t>
      </w:r>
      <w:r w:rsidR="00C10C70">
        <w:t xml:space="preserve">properties </w:t>
      </w:r>
      <w:r w:rsidR="00AE50A8">
        <w:t>o</w:t>
      </w:r>
      <w:r w:rsidR="00C10C70">
        <w:t xml:space="preserve">n the block, including two on the north side. </w:t>
      </w:r>
      <w:r w:rsidR="00AE50A8">
        <w:t xml:space="preserve">Dunning was listed in 1850 at 7 S. Penn Square, a prestigious address; in 1852 he worked at the U.S. Mint and lived on Filbert St.  </w:t>
      </w:r>
      <w:r w:rsidR="00C10C70">
        <w:t>He seems likely to have been acting as a developer or at least investor, holding several lots and selling them to others, sometimes in pairs.</w:t>
      </w:r>
      <w:r w:rsidR="007A0E28">
        <w:t xml:space="preserve">  </w:t>
      </w:r>
    </w:p>
    <w:p w14:paraId="2611DF61" w14:textId="4E00F278" w:rsidR="00BB0EEE" w:rsidRDefault="00BB0EEE"/>
    <w:p w14:paraId="4BFF00BE" w14:textId="137348C9" w:rsidR="00261E07" w:rsidRDefault="007A0E28" w:rsidP="008B6DD6">
      <w:pPr>
        <w:ind w:firstLine="720"/>
      </w:pPr>
      <w:r>
        <w:t>In 185</w:t>
      </w:r>
      <w:r w:rsidR="0038223C">
        <w:t>0</w:t>
      </w:r>
      <w:r>
        <w:t xml:space="preserve"> Edward O’Hara was identified as a laborer who resided at 21</w:t>
      </w:r>
      <w:r w:rsidRPr="007A0E28">
        <w:rPr>
          <w:vertAlign w:val="superscript"/>
        </w:rPr>
        <w:t>st</w:t>
      </w:r>
      <w:r>
        <w:t xml:space="preserve"> and South St.,</w:t>
      </w:r>
      <w:r w:rsidRPr="007A0E28">
        <w:t xml:space="preserve"> </w:t>
      </w:r>
      <w:r>
        <w:t>just to the rear</w:t>
      </w:r>
      <w:r w:rsidR="0038223C">
        <w:t xml:space="preserve"> o</w:t>
      </w:r>
      <w:r>
        <w:t xml:space="preserve">f these </w:t>
      </w:r>
      <w:r w:rsidR="0038223C">
        <w:t xml:space="preserve">houses; he would be listed </w:t>
      </w:r>
      <w:r w:rsidR="00BB0EEE">
        <w:t xml:space="preserve">as </w:t>
      </w:r>
      <w:r w:rsidR="008B6DD6">
        <w:t xml:space="preserve">a </w:t>
      </w:r>
      <w:r>
        <w:t>grocer on th</w:t>
      </w:r>
      <w:r w:rsidR="0038223C">
        <w:t>at</w:t>
      </w:r>
      <w:r>
        <w:t xml:space="preserve"> block </w:t>
      </w:r>
      <w:r w:rsidR="0038223C">
        <w:t>the following year.</w:t>
      </w:r>
      <w:r>
        <w:t xml:space="preserve"> </w:t>
      </w:r>
      <w:r w:rsidR="00BB0EEE">
        <w:t>2110-12 remained in the O’Hara family’s hands until 1908.</w:t>
      </w:r>
      <w:r w:rsidR="00BB0EEE" w:rsidRPr="00BB0EEE">
        <w:t xml:space="preserve"> </w:t>
      </w:r>
      <w:r w:rsidR="00BB0EEE">
        <w:t>The 1880 U.S. Census lists Edward</w:t>
      </w:r>
      <w:r w:rsidR="008B6DD6">
        <w:t>, born in Ireland,</w:t>
      </w:r>
      <w:r w:rsidR="00BB0EEE">
        <w:t xml:space="preserve"> residing at 2110 with his daughter Mary, </w:t>
      </w:r>
      <w:r w:rsidR="008B6DD6">
        <w:t xml:space="preserve">and </w:t>
      </w:r>
      <w:r w:rsidR="00BB0EEE">
        <w:t xml:space="preserve">still a retail grocer at age 69.  </w:t>
      </w:r>
      <w:r w:rsidR="008B6DD6">
        <w:t>Next door a</w:t>
      </w:r>
      <w:r w:rsidR="00BB0EEE">
        <w:t xml:space="preserve">t 2112 were Kate Chambers, keeping house, with two female boarders; all were widows about 60 years old, and also Irish born. </w:t>
      </w:r>
      <w:r w:rsidR="00261E07">
        <w:t xml:space="preserve"> O’Hara may have purchased for himself and either for relatives or as a small-scale landlord. </w:t>
      </w:r>
      <w:r w:rsidR="00BB0EEE">
        <w:t xml:space="preserve"> </w:t>
      </w:r>
    </w:p>
    <w:p w14:paraId="0337EC5C" w14:textId="46C7D1A3" w:rsidR="00742C7A" w:rsidRPr="00C03AAA" w:rsidRDefault="00742C7A" w:rsidP="00274F60">
      <w:pPr>
        <w:rPr>
          <w:sz w:val="20"/>
          <w:szCs w:val="20"/>
          <w:highlight w:val="yellow"/>
        </w:rPr>
      </w:pPr>
      <w:r w:rsidRPr="00C03AAA">
        <w:rPr>
          <w:sz w:val="20"/>
          <w:szCs w:val="20"/>
          <w:highlight w:val="yellow"/>
        </w:rPr>
        <w:t xml:space="preserve">• </w:t>
      </w:r>
      <w:r w:rsidR="00E146E5" w:rsidRPr="00C03AAA">
        <w:rPr>
          <w:sz w:val="20"/>
          <w:szCs w:val="20"/>
          <w:highlight w:val="yellow"/>
        </w:rPr>
        <w:t xml:space="preserve">sw4c. </w:t>
      </w:r>
      <w:r w:rsidR="00C03AAA" w:rsidRPr="00C03AAA">
        <w:rPr>
          <w:sz w:val="20"/>
          <w:szCs w:val="20"/>
          <w:highlight w:val="yellow"/>
        </w:rPr>
        <w:t xml:space="preserve">Nationality and ethnicity of </w:t>
      </w:r>
      <w:proofErr w:type="spellStart"/>
      <w:r w:rsidR="00C03AAA" w:rsidRPr="00C03AAA">
        <w:rPr>
          <w:sz w:val="20"/>
          <w:szCs w:val="20"/>
          <w:highlight w:val="yellow"/>
        </w:rPr>
        <w:t>Naudain</w:t>
      </w:r>
      <w:proofErr w:type="spellEnd"/>
      <w:r w:rsidR="00C03AAA" w:rsidRPr="00C03AAA">
        <w:rPr>
          <w:sz w:val="20"/>
          <w:szCs w:val="20"/>
          <w:highlight w:val="yellow"/>
        </w:rPr>
        <w:t xml:space="preserve"> Street residents in 1900 census (</w:t>
      </w:r>
      <w:proofErr w:type="spellStart"/>
      <w:r w:rsidR="00C03AAA" w:rsidRPr="00C03AAA">
        <w:rPr>
          <w:sz w:val="20"/>
          <w:szCs w:val="20"/>
          <w:highlight w:val="yellow"/>
        </w:rPr>
        <w:t>WorldMap</w:t>
      </w:r>
      <w:proofErr w:type="spellEnd"/>
      <w:r w:rsidR="00C03AAA" w:rsidRPr="00C03AAA">
        <w:rPr>
          <w:sz w:val="20"/>
          <w:szCs w:val="20"/>
          <w:highlight w:val="yellow"/>
        </w:rPr>
        <w:t>/ Harvard).</w:t>
      </w:r>
    </w:p>
    <w:p w14:paraId="074F1416" w14:textId="2133C921" w:rsidR="00261E07" w:rsidRDefault="00C03AAA" w:rsidP="00C03AAA">
      <w:pPr>
        <w:rPr>
          <w:sz w:val="20"/>
          <w:szCs w:val="20"/>
          <w:highlight w:val="lightGray"/>
        </w:rPr>
      </w:pPr>
      <w:r w:rsidRPr="00C03AAA">
        <w:rPr>
          <w:noProof/>
          <w:sz w:val="20"/>
          <w:szCs w:val="20"/>
          <w:highlight w:val="yellow"/>
        </w:rPr>
        <w:drawing>
          <wp:anchor distT="0" distB="0" distL="114300" distR="114300" simplePos="0" relativeHeight="251675648" behindDoc="0" locked="0" layoutInCell="1" allowOverlap="1" wp14:anchorId="18D60041" wp14:editId="2335C5A1">
            <wp:simplePos x="0" y="0"/>
            <wp:positionH relativeFrom="column">
              <wp:posOffset>4410710</wp:posOffset>
            </wp:positionH>
            <wp:positionV relativeFrom="paragraph">
              <wp:posOffset>105106</wp:posOffset>
            </wp:positionV>
            <wp:extent cx="1549400" cy="1473835"/>
            <wp:effectExtent l="0" t="0" r="0" b="0"/>
            <wp:wrapSquare wrapText="bothSides"/>
            <wp:docPr id="10" name="Picture 6" descr="WorldMap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WorldMapKey.pn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49400" cy="1473835"/>
                    </a:xfrm>
                    <a:prstGeom prst="rect">
                      <a:avLst/>
                    </a:prstGeom>
                  </pic:spPr>
                </pic:pic>
              </a:graphicData>
            </a:graphic>
            <wp14:sizeRelH relativeFrom="margin">
              <wp14:pctWidth>0</wp14:pctWidth>
            </wp14:sizeRelH>
            <wp14:sizeRelV relativeFrom="margin">
              <wp14:pctHeight>0</wp14:pctHeight>
            </wp14:sizeRelV>
          </wp:anchor>
        </w:drawing>
      </w:r>
      <w:r w:rsidRPr="00C03AAA">
        <w:rPr>
          <w:sz w:val="20"/>
          <w:szCs w:val="20"/>
          <w:highlight w:val="yellow"/>
        </w:rPr>
        <w:t>• sw4d. Key for 1900 census map</w:t>
      </w:r>
      <w:r w:rsidRPr="00C03AAA">
        <w:rPr>
          <w:sz w:val="20"/>
          <w:szCs w:val="20"/>
        </w:rPr>
        <w:t>.</w:t>
      </w:r>
    </w:p>
    <w:p w14:paraId="5E8A9A1E" w14:textId="06631BFF" w:rsidR="00C03AAA" w:rsidRPr="00C03AAA" w:rsidRDefault="00C03AAA" w:rsidP="00C03AAA">
      <w:pPr>
        <w:rPr>
          <w:sz w:val="20"/>
          <w:szCs w:val="20"/>
          <w:highlight w:val="lightGray"/>
        </w:rPr>
      </w:pPr>
      <w:r w:rsidRPr="00C03AAA">
        <w:rPr>
          <w:noProof/>
          <w:sz w:val="20"/>
          <w:szCs w:val="20"/>
          <w:highlight w:val="lightGray"/>
        </w:rPr>
        <w:drawing>
          <wp:anchor distT="0" distB="0" distL="114300" distR="114300" simplePos="0" relativeHeight="251677696" behindDoc="0" locked="0" layoutInCell="1" allowOverlap="1" wp14:anchorId="169777AE" wp14:editId="343578B8">
            <wp:simplePos x="0" y="0"/>
            <wp:positionH relativeFrom="column">
              <wp:posOffset>1795145</wp:posOffset>
            </wp:positionH>
            <wp:positionV relativeFrom="paragraph">
              <wp:posOffset>48591</wp:posOffset>
            </wp:positionV>
            <wp:extent cx="2640330" cy="1034415"/>
            <wp:effectExtent l="0" t="0" r="1270" b="0"/>
            <wp:wrapSquare wrapText="bothSides"/>
            <wp:docPr id="11" name="Picture 5" descr="Screen Shot 2018-03-18 at 11.28.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8-03-18 at 11.28.30 PM.png"/>
                    <pic:cNvPicPr>
                      <a:picLocks noChangeAspect="1"/>
                    </pic:cNvPicPr>
                  </pic:nvPicPr>
                  <pic:blipFill rotWithShape="1">
                    <a:blip r:embed="rId7" cstate="print">
                      <a:extLst>
                        <a:ext uri="{28A0092B-C50C-407E-A947-70E740481C1C}">
                          <a14:useLocalDpi xmlns:a14="http://schemas.microsoft.com/office/drawing/2010/main" val="0"/>
                        </a:ext>
                      </a:extLst>
                    </a:blip>
                    <a:srcRect l="1460" b="17509"/>
                    <a:stretch/>
                  </pic:blipFill>
                  <pic:spPr bwMode="auto">
                    <a:xfrm>
                      <a:off x="0" y="0"/>
                      <a:ext cx="2640330" cy="1034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FE65F1" w14:textId="302A7BD8" w:rsidR="00BB0EEE" w:rsidRDefault="008B6DD6" w:rsidP="008B6DD6">
      <w:pPr>
        <w:ind w:firstLine="720"/>
      </w:pPr>
      <w:r>
        <w:t>Others</w:t>
      </w:r>
      <w:r w:rsidR="00BB0EEE">
        <w:t xml:space="preserve"> on the block were first</w:t>
      </w:r>
      <w:r w:rsidR="00500AD0">
        <w:t>-</w:t>
      </w:r>
      <w:r w:rsidR="00BB0EEE">
        <w:t xml:space="preserve"> or second</w:t>
      </w:r>
      <w:r w:rsidR="00500AD0">
        <w:t>-</w:t>
      </w:r>
      <w:r w:rsidR="00BB0EEE">
        <w:t>generation Irish</w:t>
      </w:r>
      <w:r>
        <w:t xml:space="preserve"> as well</w:t>
      </w:r>
      <w:r w:rsidR="00BB0EEE">
        <w:t>.</w:t>
      </w:r>
      <w:r w:rsidR="000D2DC6">
        <w:t xml:space="preserve">  By 1900, </w:t>
      </w:r>
      <w:r>
        <w:t xml:space="preserve">according to the </w:t>
      </w:r>
      <w:proofErr w:type="spellStart"/>
      <w:r>
        <w:t>Worldmap</w:t>
      </w:r>
      <w:proofErr w:type="spellEnd"/>
      <w:r>
        <w:t xml:space="preserve"> project, </w:t>
      </w:r>
      <w:r w:rsidR="000D2DC6">
        <w:t>it was a mixed block, still mostly white, American born, but with a handful of first-generation Irish-born and African American households.</w:t>
      </w:r>
    </w:p>
    <w:p w14:paraId="68DDCD4E" w14:textId="77777777" w:rsidR="00742C7A" w:rsidRDefault="00742C7A" w:rsidP="008B6DD6">
      <w:pPr>
        <w:ind w:firstLine="720"/>
      </w:pPr>
    </w:p>
    <w:p w14:paraId="4F19E9C8" w14:textId="7A9B08F5" w:rsidR="00742C7A" w:rsidRPr="00C03AAA" w:rsidRDefault="00742C7A" w:rsidP="00274F60">
      <w:pPr>
        <w:rPr>
          <w:sz w:val="20"/>
          <w:szCs w:val="20"/>
          <w:highlight w:val="yellow"/>
        </w:rPr>
      </w:pPr>
      <w:r w:rsidRPr="00C03AAA">
        <w:rPr>
          <w:sz w:val="20"/>
          <w:szCs w:val="20"/>
          <w:highlight w:val="yellow"/>
        </w:rPr>
        <w:t xml:space="preserve">• </w:t>
      </w:r>
      <w:r w:rsidR="00E146E5" w:rsidRPr="00C03AAA">
        <w:rPr>
          <w:sz w:val="20"/>
          <w:szCs w:val="20"/>
          <w:highlight w:val="yellow"/>
        </w:rPr>
        <w:t>sw4</w:t>
      </w:r>
      <w:r w:rsidR="00C03AAA" w:rsidRPr="00C03AAA">
        <w:rPr>
          <w:sz w:val="20"/>
          <w:szCs w:val="20"/>
          <w:highlight w:val="yellow"/>
        </w:rPr>
        <w:t>e</w:t>
      </w:r>
      <w:r w:rsidR="00E146E5" w:rsidRPr="00C03AAA">
        <w:rPr>
          <w:sz w:val="20"/>
          <w:szCs w:val="20"/>
          <w:highlight w:val="yellow"/>
        </w:rPr>
        <w:t xml:space="preserve">. </w:t>
      </w:r>
      <w:r w:rsidR="00C03AAA" w:rsidRPr="00C03AAA">
        <w:rPr>
          <w:sz w:val="20"/>
          <w:szCs w:val="20"/>
          <w:highlight w:val="yellow"/>
        </w:rPr>
        <w:t>Plan, 1849, Franklin Fire Insurance survey 80: 10456 (HSP).</w:t>
      </w:r>
    </w:p>
    <w:p w14:paraId="5DA29448" w14:textId="2A07548C" w:rsidR="00261E07" w:rsidRDefault="00261E07" w:rsidP="008B6DD6">
      <w:pPr>
        <w:ind w:firstLine="720"/>
      </w:pPr>
    </w:p>
    <w:p w14:paraId="27233E52" w14:textId="7366DFC3" w:rsidR="00D73C4A" w:rsidRDefault="00742C7A" w:rsidP="00261E07">
      <w:pPr>
        <w:ind w:firstLine="720"/>
      </w:pPr>
      <w:r w:rsidRPr="00724D11">
        <w:rPr>
          <w:b/>
          <w:noProof/>
          <w:highlight w:val="green"/>
        </w:rPr>
        <mc:AlternateContent>
          <mc:Choice Requires="wps">
            <w:drawing>
              <wp:anchor distT="0" distB="0" distL="114300" distR="114300" simplePos="0" relativeHeight="251673600" behindDoc="0" locked="0" layoutInCell="1" allowOverlap="1" wp14:anchorId="0BE0F23A" wp14:editId="3A1CCA40">
                <wp:simplePos x="0" y="0"/>
                <wp:positionH relativeFrom="column">
                  <wp:posOffset>4322500</wp:posOffset>
                </wp:positionH>
                <wp:positionV relativeFrom="paragraph">
                  <wp:posOffset>759533</wp:posOffset>
                </wp:positionV>
                <wp:extent cx="478369" cy="461665"/>
                <wp:effectExtent l="0" t="0" r="0" b="0"/>
                <wp:wrapNone/>
                <wp:docPr id="7" name="TextBox 8"/>
                <wp:cNvGraphicFramePr/>
                <a:graphic xmlns:a="http://schemas.openxmlformats.org/drawingml/2006/main">
                  <a:graphicData uri="http://schemas.microsoft.com/office/word/2010/wordprocessingShape">
                    <wps:wsp>
                      <wps:cNvSpPr txBox="1"/>
                      <wps:spPr>
                        <a:xfrm>
                          <a:off x="0" y="0"/>
                          <a:ext cx="478369" cy="461665"/>
                        </a:xfrm>
                        <a:prstGeom prst="rect">
                          <a:avLst/>
                        </a:prstGeom>
                        <a:noFill/>
                      </wps:spPr>
                      <wps:txbx>
                        <w:txbxContent>
                          <w:p w14:paraId="09E2EE11" w14:textId="77777777" w:rsidR="00500AD0" w:rsidRPr="00274F60" w:rsidRDefault="00500AD0" w:rsidP="00500AD0">
                            <w:pPr>
                              <w:pStyle w:val="NormalWeb"/>
                              <w:spacing w:before="0" w:beforeAutospacing="0" w:after="0" w:afterAutospacing="0"/>
                              <w:rPr>
                                <w:b/>
                                <w:sz w:val="32"/>
                                <w:szCs w:val="32"/>
                              </w:rPr>
                            </w:pPr>
                            <w:r w:rsidRPr="00274F60">
                              <w:rPr>
                                <w:rFonts w:asciiTheme="minorHAnsi" w:hAnsi="Calibri" w:cstheme="minorBidi"/>
                                <w:b/>
                                <w:bCs/>
                                <w:color w:val="0000FF"/>
                                <w:kern w:val="24"/>
                                <w:sz w:val="32"/>
                                <w:szCs w:val="32"/>
                              </w:rPr>
                              <w:t>X</w:t>
                            </w:r>
                          </w:p>
                        </w:txbxContent>
                      </wps:txbx>
                      <wps:bodyPr wrap="square" rtlCol="0">
                        <a:spAutoFit/>
                      </wps:bodyPr>
                    </wps:wsp>
                  </a:graphicData>
                </a:graphic>
              </wp:anchor>
            </w:drawing>
          </mc:Choice>
          <mc:Fallback>
            <w:pict>
              <v:shapetype w14:anchorId="0BE0F23A" id="_x0000_t202" coordsize="21600,21600" o:spt="202" path="m,l,21600r21600,l21600,xe">
                <v:stroke joinstyle="miter"/>
                <v:path gradientshapeok="t" o:connecttype="rect"/>
              </v:shapetype>
              <v:shape id="_x0000_s1028" type="#_x0000_t202" style="position:absolute;left:0;text-align:left;margin-left:340.35pt;margin-top:59.8pt;width:37.65pt;height:36.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" filled="f" stroked="f">
                <v:textbox style="mso-fit-shape-to-text:t">
                  <w:txbxContent>
                    <w:p w14:paraId="09E2EE11" w14:textId="77777777" w:rsidR="00500AD0" w:rsidRPr="00274F60" w:rsidRDefault="00500AD0" w:rsidP="00500AD0">
                      <w:pPr>
                        <w:pStyle w:val="NormalWeb"/>
                        <w:spacing w:before="0" w:beforeAutospacing="0" w:after="0" w:afterAutospacing="0"/>
                        <w:rPr>
                          <w:b/>
                          <w:sz w:val="32"/>
                          <w:szCs w:val="32"/>
                        </w:rPr>
                      </w:pPr>
                      <w:r w:rsidRPr="00274F60">
                        <w:rPr>
                          <w:rFonts w:asciiTheme="minorHAnsi" w:hAnsi="Calibri" w:cstheme="minorBidi"/>
                          <w:b/>
                          <w:bCs/>
                          <w:color w:val="0000FF"/>
                          <w:kern w:val="24"/>
                          <w:sz w:val="32"/>
                          <w:szCs w:val="32"/>
                        </w:rPr>
                        <w:t>X</w:t>
                      </w:r>
                    </w:p>
                  </w:txbxContent>
                </v:textbox>
              </v:shape>
            </w:pict>
          </mc:Fallback>
        </mc:AlternateContent>
      </w:r>
      <w:r w:rsidRPr="00724D11">
        <w:rPr>
          <w:noProof/>
        </w:rPr>
        <w:drawing>
          <wp:anchor distT="0" distB="0" distL="114300" distR="114300" simplePos="0" relativeHeight="251668480" behindDoc="0" locked="0" layoutInCell="1" allowOverlap="1" wp14:anchorId="2F30465F" wp14:editId="08E57D73">
            <wp:simplePos x="0" y="0"/>
            <wp:positionH relativeFrom="column">
              <wp:posOffset>2705735</wp:posOffset>
            </wp:positionH>
            <wp:positionV relativeFrom="paragraph">
              <wp:posOffset>62865</wp:posOffset>
            </wp:positionV>
            <wp:extent cx="3186430" cy="1332865"/>
            <wp:effectExtent l="0" t="0" r="1270" b="635"/>
            <wp:wrapSquare wrapText="bothSides"/>
            <wp:docPr id="12" name="Picture 11" descr="Screen Shot 2018-03-13 at 1.27.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Screen Shot 2018-03-13 at 1.27.50 AM.png"/>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86430" cy="1332865"/>
                    </a:xfrm>
                    <a:prstGeom prst="rect">
                      <a:avLst/>
                    </a:prstGeom>
                  </pic:spPr>
                </pic:pic>
              </a:graphicData>
            </a:graphic>
            <wp14:sizeRelH relativeFrom="margin">
              <wp14:pctWidth>0</wp14:pctWidth>
            </wp14:sizeRelH>
            <wp14:sizeRelV relativeFrom="margin">
              <wp14:pctHeight>0</wp14:pctHeight>
            </wp14:sizeRelV>
          </wp:anchor>
        </w:drawing>
      </w:r>
      <w:r w:rsidR="00DE626A">
        <w:t>As to house form, t</w:t>
      </w:r>
      <w:r w:rsidR="00F36A2D">
        <w:t>he survey identified structures to the west as “similar houses,” and</w:t>
      </w:r>
      <w:r w:rsidR="00AE50A8">
        <w:t xml:space="preserve"> they</w:t>
      </w:r>
      <w:r w:rsidR="00C3779F">
        <w:t>,</w:t>
      </w:r>
      <w:r w:rsidR="00AE50A8">
        <w:t xml:space="preserve"> </w:t>
      </w:r>
      <w:r w:rsidR="00C3779F">
        <w:t xml:space="preserve">along with others on the block, </w:t>
      </w:r>
      <w:r w:rsidR="00AE50A8">
        <w:t xml:space="preserve">may have involved the same </w:t>
      </w:r>
      <w:r w:rsidR="00261E07">
        <w:t xml:space="preserve">developers and </w:t>
      </w:r>
      <w:r w:rsidR="00AE50A8">
        <w:t>builders</w:t>
      </w:r>
      <w:r w:rsidR="00C3779F">
        <w:t>.</w:t>
      </w:r>
      <w:r w:rsidR="00F36A2D">
        <w:t xml:space="preserve"> </w:t>
      </w:r>
      <w:r w:rsidR="00261E07">
        <w:t xml:space="preserve"> </w:t>
      </w:r>
      <w:r w:rsidR="00D73C4A">
        <w:t xml:space="preserve">The </w:t>
      </w:r>
      <w:r w:rsidR="00261E07">
        <w:t xml:space="preserve">house </w:t>
      </w:r>
      <w:r w:rsidR="00D73C4A">
        <w:t xml:space="preserve">plan </w:t>
      </w:r>
      <w:r w:rsidR="00261E07">
        <w:t>wa</w:t>
      </w:r>
      <w:r w:rsidR="00D73C4A">
        <w:t>s simple: direct entry into a single squar</w:t>
      </w:r>
      <w:r w:rsidR="00261E07">
        <w:t>ish</w:t>
      </w:r>
      <w:r w:rsidR="00D73C4A">
        <w:t xml:space="preserve"> space, with </w:t>
      </w:r>
      <w:r w:rsidR="00261E07">
        <w:t>the front</w:t>
      </w:r>
      <w:r w:rsidR="00D73C4A">
        <w:t xml:space="preserve"> door </w:t>
      </w:r>
      <w:r w:rsidR="00261E07">
        <w:t>near one party</w:t>
      </w:r>
      <w:r w:rsidR="00D73C4A">
        <w:t xml:space="preserve"> wall </w:t>
      </w:r>
      <w:r w:rsidR="00261E07">
        <w:t>and</w:t>
      </w:r>
      <w:r w:rsidR="00D73C4A">
        <w:t xml:space="preserve"> the fireplace</w:t>
      </w:r>
      <w:r w:rsidR="00261E07">
        <w:t xml:space="preserve"> on the opposite one</w:t>
      </w:r>
      <w:r w:rsidR="00D73C4A">
        <w:t xml:space="preserve">.  Beyond the fireplace was the winding stair, which was partitioned off to occupy nearly a quarter of the plan.  The doorway to the yard was located here, </w:t>
      </w:r>
      <w:r w:rsidR="007015D6">
        <w:t>n</w:t>
      </w:r>
      <w:r w:rsidR="00D73C4A">
        <w:t>ear the middle of the back</w:t>
      </w:r>
      <w:r w:rsidR="00880338">
        <w:t xml:space="preserve"> wall</w:t>
      </w:r>
      <w:r w:rsidR="00D73C4A">
        <w:t xml:space="preserve">.  </w:t>
      </w:r>
      <w:r w:rsidR="00AE50A8">
        <w:t xml:space="preserve">The survey offers more detail: “Hemlock joist, Carolina floor boards, </w:t>
      </w:r>
      <w:proofErr w:type="gramStart"/>
      <w:r w:rsidR="00AE50A8">
        <w:t>Reveal</w:t>
      </w:r>
      <w:proofErr w:type="gramEnd"/>
      <w:r w:rsidR="00AE50A8">
        <w:t xml:space="preserve"> window frames front wood sills &amp; heads, panel shutters first and venetian to second story, Cased frames back.”</w:t>
      </w:r>
      <w:r w:rsidR="003C7C00">
        <w:t xml:space="preserve">  </w:t>
      </w:r>
    </w:p>
    <w:p w14:paraId="4CA33BBE" w14:textId="77777777" w:rsidR="00880338" w:rsidRDefault="00880338" w:rsidP="00261E07">
      <w:pPr>
        <w:ind w:firstLine="720"/>
      </w:pPr>
    </w:p>
    <w:p w14:paraId="777234F7" w14:textId="77777777" w:rsidR="00880338" w:rsidRDefault="00880338" w:rsidP="00880338">
      <w:pPr>
        <w:ind w:firstLine="720"/>
      </w:pPr>
      <w:r>
        <w:t>The survey noted the first-floor front’s “2 12 light 9 by 14 windows” and inside, “plain wood mantel &amp; side closet.” Each house was insured for $400 in 1849.</w:t>
      </w:r>
    </w:p>
    <w:p w14:paraId="550CD196" w14:textId="1C97F154" w:rsidR="003C7C00" w:rsidRDefault="003C7C00"/>
    <w:p w14:paraId="6DCB9E3E" w14:textId="5AAB361D" w:rsidR="00706CE8" w:rsidRDefault="00092442">
      <w:pPr>
        <w:rPr>
          <w:sz w:val="20"/>
          <w:szCs w:val="20"/>
        </w:rPr>
      </w:pPr>
      <w:bookmarkStart w:id="0" w:name="_GoBack"/>
      <w:r>
        <w:rPr>
          <w:noProof/>
        </w:rPr>
        <w:lastRenderedPageBreak/>
        <w:drawing>
          <wp:anchor distT="0" distB="0" distL="114300" distR="114300" simplePos="0" relativeHeight="251682816" behindDoc="0" locked="0" layoutInCell="1" allowOverlap="1" wp14:anchorId="1E2956CD" wp14:editId="741526A4">
            <wp:simplePos x="0" y="0"/>
            <wp:positionH relativeFrom="column">
              <wp:posOffset>3193834</wp:posOffset>
            </wp:positionH>
            <wp:positionV relativeFrom="paragraph">
              <wp:posOffset>467</wp:posOffset>
            </wp:positionV>
            <wp:extent cx="2668905" cy="19608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4-23 at 12.43.25 PM.png"/>
                    <pic:cNvPicPr/>
                  </pic:nvPicPr>
                  <pic:blipFill>
                    <a:blip r:embed="rId10">
                      <a:extLst>
                        <a:ext uri="{28A0092B-C50C-407E-A947-70E740481C1C}">
                          <a14:useLocalDpi xmlns:a14="http://schemas.microsoft.com/office/drawing/2010/main" val="0"/>
                        </a:ext>
                      </a:extLst>
                    </a:blip>
                    <a:stretch>
                      <a:fillRect/>
                    </a:stretch>
                  </pic:blipFill>
                  <pic:spPr>
                    <a:xfrm>
                      <a:off x="0" y="0"/>
                      <a:ext cx="2668905" cy="1960880"/>
                    </a:xfrm>
                    <a:prstGeom prst="rect">
                      <a:avLst/>
                    </a:prstGeom>
                  </pic:spPr>
                </pic:pic>
              </a:graphicData>
            </a:graphic>
            <wp14:sizeRelH relativeFrom="page">
              <wp14:pctWidth>0</wp14:pctWidth>
            </wp14:sizeRelH>
            <wp14:sizeRelV relativeFrom="page">
              <wp14:pctHeight>0</wp14:pctHeight>
            </wp14:sizeRelV>
          </wp:anchor>
        </w:drawing>
      </w:r>
      <w:bookmarkEnd w:id="0"/>
      <w:r w:rsidR="00B70242" w:rsidRPr="00C03AAA">
        <w:rPr>
          <w:sz w:val="20"/>
          <w:szCs w:val="20"/>
          <w:highlight w:val="yellow"/>
        </w:rPr>
        <w:t xml:space="preserve">• </w:t>
      </w:r>
      <w:r w:rsidR="00E146E5" w:rsidRPr="00C03AAA">
        <w:rPr>
          <w:sz w:val="20"/>
          <w:szCs w:val="20"/>
          <w:highlight w:val="yellow"/>
        </w:rPr>
        <w:t>sw4</w:t>
      </w:r>
      <w:r w:rsidR="00C03AAA" w:rsidRPr="00C03AAA">
        <w:rPr>
          <w:sz w:val="20"/>
          <w:szCs w:val="20"/>
          <w:highlight w:val="yellow"/>
        </w:rPr>
        <w:t>f</w:t>
      </w:r>
      <w:r w:rsidR="00E146E5" w:rsidRPr="00C03AAA">
        <w:rPr>
          <w:sz w:val="20"/>
          <w:szCs w:val="20"/>
          <w:highlight w:val="yellow"/>
        </w:rPr>
        <w:t xml:space="preserve">. </w:t>
      </w:r>
      <w:r w:rsidR="00C03AAA" w:rsidRPr="00C03AAA">
        <w:rPr>
          <w:sz w:val="20"/>
          <w:szCs w:val="20"/>
          <w:highlight w:val="yellow"/>
        </w:rPr>
        <w:t>Interior, looking northeast, photo 2019, J. Cohen.</w:t>
      </w:r>
    </w:p>
    <w:p w14:paraId="5FD35CF0" w14:textId="44E90533" w:rsidR="00C03AAA" w:rsidRDefault="00C03AAA">
      <w:pPr>
        <w:rPr>
          <w:highlight w:val="yellow"/>
        </w:rPr>
      </w:pPr>
    </w:p>
    <w:p w14:paraId="2A2ED7BC" w14:textId="3F012F2D" w:rsidR="00D73C4A" w:rsidRDefault="00141A56" w:rsidP="00004B50">
      <w:pPr>
        <w:ind w:firstLine="720"/>
      </w:pPr>
      <w:r>
        <w:t xml:space="preserve">Three changes common to such houses are evident here: </w:t>
      </w:r>
      <w:r w:rsidR="00500AD0" w:rsidRPr="00141A56">
        <w:t xml:space="preserve">The winder stair </w:t>
      </w:r>
      <w:r w:rsidRPr="00141A56">
        <w:t>between the gro</w:t>
      </w:r>
      <w:r>
        <w:t>u</w:t>
      </w:r>
      <w:r w:rsidRPr="00141A56">
        <w:t xml:space="preserve">nd and second floors </w:t>
      </w:r>
      <w:r w:rsidR="00500AD0" w:rsidRPr="00141A56">
        <w:t>has been replaced with a metal one</w:t>
      </w:r>
      <w:r w:rsidRPr="00141A56">
        <w:t>, its e</w:t>
      </w:r>
      <w:r>
        <w:t>n</w:t>
      </w:r>
      <w:r w:rsidRPr="00141A56">
        <w:t xml:space="preserve">closure now removed.  </w:t>
      </w:r>
      <w:r>
        <w:t xml:space="preserve">As in many one-cell houses, a shallow one-story space has been added across the rear to accommodate a modern kitchen.  And the present owner reports traces of an old outhouse at the southeast corner of the yard some decades ago, long ago replaced by a toilet on the second-floor.   </w:t>
      </w:r>
      <w:r w:rsidR="00004B50">
        <w:t>But the house retains its scale, where one appreciates the difference between 16 feet of width and smaller single-cell plans closer to 13 feet wide.</w:t>
      </w:r>
    </w:p>
    <w:p w14:paraId="0DC6B02F" w14:textId="25F6BDD2" w:rsidR="00D73C4A" w:rsidRDefault="00D73C4A"/>
    <w:p w14:paraId="05DCE8A0" w14:textId="77777777" w:rsidR="00274F60" w:rsidRDefault="00274F60"/>
    <w:p w14:paraId="3726CD53" w14:textId="48965886" w:rsidR="00666793" w:rsidRDefault="00666793" w:rsidP="00666793">
      <w:pPr>
        <w:jc w:val="right"/>
      </w:pPr>
      <w:r>
        <w:t>-- JC</w:t>
      </w:r>
    </w:p>
    <w:p w14:paraId="3357C788" w14:textId="4FC07999" w:rsidR="00D73C4A" w:rsidRDefault="00D73C4A">
      <w:r>
        <w:t xml:space="preserve">=====  </w:t>
      </w:r>
    </w:p>
    <w:p w14:paraId="37B8123A" w14:textId="1E8BE6D6" w:rsidR="000D2DC6" w:rsidRDefault="000D2DC6"/>
    <w:sectPr w:rsidR="000D2DC6" w:rsidSect="00DD5D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D11"/>
    <w:rsid w:val="00004B50"/>
    <w:rsid w:val="00042337"/>
    <w:rsid w:val="00086E90"/>
    <w:rsid w:val="00092442"/>
    <w:rsid w:val="000D2DC6"/>
    <w:rsid w:val="00105273"/>
    <w:rsid w:val="001338D4"/>
    <w:rsid w:val="00141A56"/>
    <w:rsid w:val="001463E3"/>
    <w:rsid w:val="001A4466"/>
    <w:rsid w:val="0021456C"/>
    <w:rsid w:val="0024205B"/>
    <w:rsid w:val="00261E07"/>
    <w:rsid w:val="00274F60"/>
    <w:rsid w:val="002D25E2"/>
    <w:rsid w:val="0038223C"/>
    <w:rsid w:val="003C7C00"/>
    <w:rsid w:val="0047791D"/>
    <w:rsid w:val="004E6DA4"/>
    <w:rsid w:val="00500AD0"/>
    <w:rsid w:val="00501D94"/>
    <w:rsid w:val="005077B5"/>
    <w:rsid w:val="0059166D"/>
    <w:rsid w:val="0059215B"/>
    <w:rsid w:val="005C7C95"/>
    <w:rsid w:val="00651C32"/>
    <w:rsid w:val="006639E9"/>
    <w:rsid w:val="00666793"/>
    <w:rsid w:val="007015D6"/>
    <w:rsid w:val="00706CE8"/>
    <w:rsid w:val="00724D11"/>
    <w:rsid w:val="00742C7A"/>
    <w:rsid w:val="007A0E28"/>
    <w:rsid w:val="00856CDA"/>
    <w:rsid w:val="008627E4"/>
    <w:rsid w:val="00880338"/>
    <w:rsid w:val="008B6DD6"/>
    <w:rsid w:val="00941156"/>
    <w:rsid w:val="00AE50A8"/>
    <w:rsid w:val="00B65E61"/>
    <w:rsid w:val="00B70242"/>
    <w:rsid w:val="00BB0EEE"/>
    <w:rsid w:val="00C03AAA"/>
    <w:rsid w:val="00C10C70"/>
    <w:rsid w:val="00C3779F"/>
    <w:rsid w:val="00CD4EC1"/>
    <w:rsid w:val="00CE3434"/>
    <w:rsid w:val="00D14B8B"/>
    <w:rsid w:val="00D73C4A"/>
    <w:rsid w:val="00DD5DA9"/>
    <w:rsid w:val="00DE626A"/>
    <w:rsid w:val="00E146E5"/>
    <w:rsid w:val="00F36A2D"/>
    <w:rsid w:val="00FB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E36ED"/>
  <w15:chartTrackingRefBased/>
  <w15:docId w15:val="{F1AFDA42-3F59-1F44-AD4B-E73BBA602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4D1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4D11"/>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6667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795</Words>
  <Characters>4533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Cohen</dc:creator>
  <cp:keywords/>
  <dc:description/>
  <cp:lastModifiedBy>Jeffrey Cohen</cp:lastModifiedBy>
  <cp:revision>7</cp:revision>
  <cp:lastPrinted>2019-03-28T19:58:00Z</cp:lastPrinted>
  <dcterms:created xsi:type="dcterms:W3CDTF">2019-04-06T09:03:00Z</dcterms:created>
  <dcterms:modified xsi:type="dcterms:W3CDTF">2019-04-23T16:44:00Z</dcterms:modified>
</cp:coreProperties>
</file>